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901" w:rsidRPr="009E53E0" w:rsidRDefault="00D8584B" w:rsidP="00D8584B">
      <w:pPr>
        <w:jc w:val="center"/>
        <w:rPr>
          <w:b/>
          <w:sz w:val="28"/>
          <w:szCs w:val="28"/>
        </w:rPr>
      </w:pPr>
      <w:bookmarkStart w:id="0" w:name="_GoBack"/>
      <w:bookmarkEnd w:id="0"/>
      <w:r w:rsidRPr="009E53E0">
        <w:rPr>
          <w:b/>
          <w:sz w:val="28"/>
          <w:szCs w:val="28"/>
        </w:rPr>
        <w:t xml:space="preserve">IMF KÜRESEL EKONOMİK GÖRÜNÜM </w:t>
      </w:r>
      <w:r w:rsidR="00534A50" w:rsidRPr="009E53E0">
        <w:rPr>
          <w:b/>
          <w:sz w:val="28"/>
          <w:szCs w:val="28"/>
        </w:rPr>
        <w:t>TEMMUZ</w:t>
      </w:r>
      <w:r w:rsidRPr="009E53E0">
        <w:rPr>
          <w:b/>
          <w:sz w:val="28"/>
          <w:szCs w:val="28"/>
        </w:rPr>
        <w:t xml:space="preserve"> 2019</w:t>
      </w:r>
      <w:r w:rsidR="00534A50" w:rsidRPr="009E53E0">
        <w:rPr>
          <w:b/>
          <w:sz w:val="28"/>
          <w:szCs w:val="28"/>
        </w:rPr>
        <w:t xml:space="preserve"> ARA GÜNCELLEME</w:t>
      </w:r>
      <w:r w:rsidRPr="009E53E0">
        <w:rPr>
          <w:b/>
          <w:sz w:val="28"/>
          <w:szCs w:val="28"/>
        </w:rPr>
        <w:t xml:space="preserve"> RAPORU BİLGİ NOTU</w:t>
      </w:r>
    </w:p>
    <w:p w:rsidR="00C50904" w:rsidRPr="009E53E0" w:rsidRDefault="00534A50" w:rsidP="00C50904">
      <w:pPr>
        <w:jc w:val="both"/>
        <w:rPr>
          <w:b/>
          <w:sz w:val="28"/>
          <w:szCs w:val="28"/>
        </w:rPr>
      </w:pPr>
      <w:r w:rsidRPr="009E53E0">
        <w:rPr>
          <w:sz w:val="24"/>
          <w:szCs w:val="24"/>
        </w:rPr>
        <w:t>IMF 23 Temmuz</w:t>
      </w:r>
      <w:r w:rsidR="00C50904" w:rsidRPr="009E53E0">
        <w:rPr>
          <w:sz w:val="24"/>
          <w:szCs w:val="24"/>
        </w:rPr>
        <w:t xml:space="preserve"> 2019 tarihinde “Küresel Ekonomik Görünüm</w:t>
      </w:r>
      <w:r w:rsidRPr="009E53E0">
        <w:rPr>
          <w:sz w:val="24"/>
          <w:szCs w:val="24"/>
        </w:rPr>
        <w:t xml:space="preserve"> Ara Güncelleme</w:t>
      </w:r>
      <w:r w:rsidR="00C50904" w:rsidRPr="009E53E0">
        <w:rPr>
          <w:sz w:val="24"/>
          <w:szCs w:val="24"/>
        </w:rPr>
        <w:t xml:space="preserve"> Raporu” nu yayımlamıştır. Söz konusu raporda ülke ve bölgelere ilişkin değerlendirmelerin yanı sıra makroekonomik beklentilere de yer verilmiştir.</w:t>
      </w:r>
    </w:p>
    <w:p w:rsidR="00D8584B" w:rsidRPr="009E53E0" w:rsidRDefault="00C50904" w:rsidP="00C50904">
      <w:pPr>
        <w:rPr>
          <w:b/>
          <w:sz w:val="24"/>
          <w:szCs w:val="24"/>
        </w:rPr>
      </w:pPr>
      <w:r w:rsidRPr="009E53E0">
        <w:rPr>
          <w:b/>
          <w:sz w:val="24"/>
          <w:szCs w:val="24"/>
        </w:rPr>
        <w:t>1-) KÜRESEL EKONOMİK GÖRÜNÜME İLİŞKİN DEĞERLENDİRMELER</w:t>
      </w:r>
    </w:p>
    <w:p w:rsidR="00534A50" w:rsidRPr="009E53E0" w:rsidRDefault="00C50904" w:rsidP="00C50904">
      <w:pPr>
        <w:spacing w:line="276" w:lineRule="auto"/>
        <w:jc w:val="both"/>
        <w:rPr>
          <w:sz w:val="24"/>
          <w:szCs w:val="24"/>
        </w:rPr>
      </w:pPr>
      <w:r w:rsidRPr="009E53E0">
        <w:rPr>
          <w:sz w:val="24"/>
          <w:szCs w:val="24"/>
        </w:rPr>
        <w:t xml:space="preserve">Küresel ekonomiye ilişkin yaptığı değerlendirmede </w:t>
      </w:r>
      <w:r w:rsidR="00F830A6" w:rsidRPr="009E53E0">
        <w:rPr>
          <w:sz w:val="24"/>
          <w:szCs w:val="24"/>
        </w:rPr>
        <w:t>IMF;</w:t>
      </w:r>
    </w:p>
    <w:p w:rsidR="00D8584B" w:rsidRPr="009E53E0" w:rsidRDefault="00D8584B" w:rsidP="00C50904">
      <w:pPr>
        <w:pStyle w:val="ListeParagraf"/>
        <w:numPr>
          <w:ilvl w:val="0"/>
          <w:numId w:val="1"/>
        </w:numPr>
        <w:spacing w:line="276" w:lineRule="auto"/>
        <w:jc w:val="both"/>
        <w:rPr>
          <w:sz w:val="24"/>
          <w:szCs w:val="24"/>
        </w:rPr>
      </w:pPr>
      <w:r w:rsidRPr="009E53E0">
        <w:rPr>
          <w:sz w:val="24"/>
          <w:szCs w:val="24"/>
        </w:rPr>
        <w:t>Kür</w:t>
      </w:r>
      <w:r w:rsidR="00534A50" w:rsidRPr="009E53E0">
        <w:rPr>
          <w:sz w:val="24"/>
          <w:szCs w:val="24"/>
        </w:rPr>
        <w:t xml:space="preserve">esel büyümenin 2019 yılında %3,2 </w:t>
      </w:r>
      <w:r w:rsidR="00534A50" w:rsidRPr="001121C0">
        <w:rPr>
          <w:b/>
          <w:sz w:val="24"/>
          <w:szCs w:val="24"/>
        </w:rPr>
        <w:t>(0,1</w:t>
      </w:r>
      <w:r w:rsidRPr="001121C0">
        <w:rPr>
          <w:b/>
          <w:sz w:val="24"/>
          <w:szCs w:val="24"/>
        </w:rPr>
        <w:t xml:space="preserve"> yüzde puan aşağı yönlü revize)</w:t>
      </w:r>
      <w:r w:rsidRPr="009E53E0">
        <w:rPr>
          <w:sz w:val="24"/>
          <w:szCs w:val="24"/>
        </w:rPr>
        <w:t>;</w:t>
      </w:r>
      <w:r w:rsidR="00534A50" w:rsidRPr="009E53E0">
        <w:rPr>
          <w:sz w:val="24"/>
          <w:szCs w:val="24"/>
        </w:rPr>
        <w:t xml:space="preserve"> 2020 yılında %3,5</w:t>
      </w:r>
      <w:r w:rsidR="00F830A6" w:rsidRPr="009E53E0">
        <w:rPr>
          <w:sz w:val="24"/>
          <w:szCs w:val="24"/>
        </w:rPr>
        <w:t xml:space="preserve"> </w:t>
      </w:r>
      <w:r w:rsidR="00534A50" w:rsidRPr="001121C0">
        <w:rPr>
          <w:b/>
          <w:sz w:val="24"/>
          <w:szCs w:val="24"/>
        </w:rPr>
        <w:t>(0,1 yüzde puan aşağı yönlü revize)</w:t>
      </w:r>
      <w:r w:rsidR="00F830A6" w:rsidRPr="009E53E0">
        <w:rPr>
          <w:sz w:val="24"/>
          <w:szCs w:val="24"/>
        </w:rPr>
        <w:t>,</w:t>
      </w:r>
    </w:p>
    <w:p w:rsidR="00D8584B" w:rsidRPr="009E53E0" w:rsidRDefault="00D8584B" w:rsidP="00C50904">
      <w:pPr>
        <w:pStyle w:val="ListeParagraf"/>
        <w:numPr>
          <w:ilvl w:val="0"/>
          <w:numId w:val="1"/>
        </w:numPr>
        <w:spacing w:line="276" w:lineRule="auto"/>
        <w:jc w:val="both"/>
        <w:rPr>
          <w:sz w:val="24"/>
          <w:szCs w:val="24"/>
        </w:rPr>
      </w:pPr>
      <w:r w:rsidRPr="009E53E0">
        <w:rPr>
          <w:sz w:val="24"/>
          <w:szCs w:val="24"/>
        </w:rPr>
        <w:t>Gelişmi</w:t>
      </w:r>
      <w:r w:rsidR="00534A50" w:rsidRPr="009E53E0">
        <w:rPr>
          <w:sz w:val="24"/>
          <w:szCs w:val="24"/>
        </w:rPr>
        <w:t xml:space="preserve">ş ekonomilerin 2019 yılında %1,9 </w:t>
      </w:r>
      <w:r w:rsidR="00534A50" w:rsidRPr="001121C0">
        <w:rPr>
          <w:b/>
          <w:sz w:val="24"/>
          <w:szCs w:val="24"/>
        </w:rPr>
        <w:t>(0,1</w:t>
      </w:r>
      <w:r w:rsidRPr="001121C0">
        <w:rPr>
          <w:b/>
          <w:sz w:val="24"/>
          <w:szCs w:val="24"/>
        </w:rPr>
        <w:t xml:space="preserve"> yüzde puan </w:t>
      </w:r>
      <w:r w:rsidR="00534A50" w:rsidRPr="001121C0">
        <w:rPr>
          <w:b/>
          <w:sz w:val="24"/>
          <w:szCs w:val="24"/>
        </w:rPr>
        <w:t>yukarı</w:t>
      </w:r>
      <w:r w:rsidRPr="001121C0">
        <w:rPr>
          <w:b/>
          <w:sz w:val="24"/>
          <w:szCs w:val="24"/>
        </w:rPr>
        <w:t xml:space="preserve"> yönlü revize)</w:t>
      </w:r>
      <w:r w:rsidRPr="009E53E0">
        <w:rPr>
          <w:sz w:val="24"/>
          <w:szCs w:val="24"/>
        </w:rPr>
        <w:t>; 2020 yılında %1,7 (revize yok)</w:t>
      </w:r>
      <w:r w:rsidR="00F830A6" w:rsidRPr="009E53E0">
        <w:rPr>
          <w:sz w:val="24"/>
          <w:szCs w:val="24"/>
        </w:rPr>
        <w:t>,</w:t>
      </w:r>
      <w:r w:rsidR="00534A50" w:rsidRPr="009E53E0">
        <w:rPr>
          <w:sz w:val="24"/>
          <w:szCs w:val="24"/>
        </w:rPr>
        <w:t xml:space="preserve"> </w:t>
      </w:r>
    </w:p>
    <w:p w:rsidR="00F830A6" w:rsidRPr="009E53E0" w:rsidRDefault="00F830A6" w:rsidP="00C50904">
      <w:pPr>
        <w:pStyle w:val="ListeParagraf"/>
        <w:numPr>
          <w:ilvl w:val="0"/>
          <w:numId w:val="1"/>
        </w:numPr>
        <w:spacing w:line="276" w:lineRule="auto"/>
        <w:jc w:val="both"/>
        <w:rPr>
          <w:sz w:val="24"/>
          <w:szCs w:val="24"/>
        </w:rPr>
      </w:pPr>
      <w:r w:rsidRPr="009E53E0">
        <w:rPr>
          <w:sz w:val="24"/>
          <w:szCs w:val="24"/>
        </w:rPr>
        <w:t>Gelişmekte ola</w:t>
      </w:r>
      <w:r w:rsidR="00534A50" w:rsidRPr="009E53E0">
        <w:rPr>
          <w:sz w:val="24"/>
          <w:szCs w:val="24"/>
        </w:rPr>
        <w:t xml:space="preserve">n ekonomilerin 2019 yılında %4,1 </w:t>
      </w:r>
      <w:r w:rsidR="00534A50" w:rsidRPr="001121C0">
        <w:rPr>
          <w:b/>
          <w:sz w:val="24"/>
          <w:szCs w:val="24"/>
        </w:rPr>
        <w:t>(0,3</w:t>
      </w:r>
      <w:r w:rsidRPr="001121C0">
        <w:rPr>
          <w:b/>
          <w:sz w:val="24"/>
          <w:szCs w:val="24"/>
        </w:rPr>
        <w:t xml:space="preserve"> yüzde puan aşağı yönlü revize)</w:t>
      </w:r>
      <w:r w:rsidRPr="009E53E0">
        <w:rPr>
          <w:sz w:val="24"/>
          <w:szCs w:val="24"/>
        </w:rPr>
        <w:t>; 2</w:t>
      </w:r>
      <w:r w:rsidR="00534A50" w:rsidRPr="009E53E0">
        <w:rPr>
          <w:sz w:val="24"/>
          <w:szCs w:val="24"/>
        </w:rPr>
        <w:t>020 yılında %4,7</w:t>
      </w:r>
      <w:r w:rsidRPr="009E53E0">
        <w:rPr>
          <w:sz w:val="24"/>
          <w:szCs w:val="24"/>
        </w:rPr>
        <w:t xml:space="preserve"> (0,1 yüzde puan aşağı yönlü revize),</w:t>
      </w:r>
    </w:p>
    <w:p w:rsidR="00D8584B" w:rsidRPr="009E53E0" w:rsidRDefault="00534A50" w:rsidP="00C50904">
      <w:pPr>
        <w:pStyle w:val="ListeParagraf"/>
        <w:numPr>
          <w:ilvl w:val="0"/>
          <w:numId w:val="1"/>
        </w:numPr>
        <w:spacing w:line="276" w:lineRule="auto"/>
        <w:jc w:val="both"/>
        <w:rPr>
          <w:sz w:val="24"/>
          <w:szCs w:val="24"/>
        </w:rPr>
      </w:pPr>
      <w:r w:rsidRPr="009E53E0">
        <w:rPr>
          <w:sz w:val="24"/>
          <w:szCs w:val="24"/>
        </w:rPr>
        <w:t>ABD’nin 2019 yılında %2,6 (0,3 yüzde puan yukarı</w:t>
      </w:r>
      <w:r w:rsidR="00D8584B" w:rsidRPr="009E53E0">
        <w:rPr>
          <w:sz w:val="24"/>
          <w:szCs w:val="24"/>
        </w:rPr>
        <w:t xml:space="preserve"> </w:t>
      </w:r>
      <w:r w:rsidRPr="009E53E0">
        <w:rPr>
          <w:sz w:val="24"/>
          <w:szCs w:val="24"/>
        </w:rPr>
        <w:t>yönlü revize); 2020 yılında %1,9</w:t>
      </w:r>
      <w:r w:rsidR="00D8584B" w:rsidRPr="009E53E0">
        <w:rPr>
          <w:sz w:val="24"/>
          <w:szCs w:val="24"/>
        </w:rPr>
        <w:t xml:space="preserve"> (revize</w:t>
      </w:r>
      <w:r w:rsidRPr="009E53E0">
        <w:rPr>
          <w:sz w:val="24"/>
          <w:szCs w:val="24"/>
        </w:rPr>
        <w:t xml:space="preserve"> yok</w:t>
      </w:r>
      <w:r w:rsidR="00D8584B" w:rsidRPr="009E53E0">
        <w:rPr>
          <w:sz w:val="24"/>
          <w:szCs w:val="24"/>
        </w:rPr>
        <w:t>)</w:t>
      </w:r>
      <w:r w:rsidR="00F830A6" w:rsidRPr="009E53E0">
        <w:rPr>
          <w:sz w:val="24"/>
          <w:szCs w:val="24"/>
        </w:rPr>
        <w:t>,</w:t>
      </w:r>
    </w:p>
    <w:p w:rsidR="00D8584B" w:rsidRPr="009E53E0" w:rsidRDefault="00D8584B" w:rsidP="00C50904">
      <w:pPr>
        <w:pStyle w:val="ListeParagraf"/>
        <w:numPr>
          <w:ilvl w:val="0"/>
          <w:numId w:val="1"/>
        </w:numPr>
        <w:spacing w:line="276" w:lineRule="auto"/>
        <w:jc w:val="both"/>
        <w:rPr>
          <w:sz w:val="24"/>
          <w:szCs w:val="24"/>
        </w:rPr>
      </w:pPr>
      <w:r w:rsidRPr="009E53E0">
        <w:rPr>
          <w:sz w:val="24"/>
          <w:szCs w:val="24"/>
        </w:rPr>
        <w:t>Avro Bölgesi’nin 2019 yılında %1,3 (</w:t>
      </w:r>
      <w:r w:rsidR="00F830A6" w:rsidRPr="009E53E0">
        <w:rPr>
          <w:sz w:val="24"/>
          <w:szCs w:val="24"/>
        </w:rPr>
        <w:t>revize</w:t>
      </w:r>
      <w:r w:rsidR="00534A50" w:rsidRPr="009E53E0">
        <w:rPr>
          <w:sz w:val="24"/>
          <w:szCs w:val="24"/>
        </w:rPr>
        <w:t xml:space="preserve"> yok); 2020 yılında %1,6 (0,1</w:t>
      </w:r>
      <w:r w:rsidR="00F830A6" w:rsidRPr="009E53E0">
        <w:rPr>
          <w:sz w:val="24"/>
          <w:szCs w:val="24"/>
        </w:rPr>
        <w:t xml:space="preserve"> yüzde puan </w:t>
      </w:r>
      <w:r w:rsidR="00534A50" w:rsidRPr="009E53E0">
        <w:rPr>
          <w:sz w:val="24"/>
          <w:szCs w:val="24"/>
        </w:rPr>
        <w:t>yukarı</w:t>
      </w:r>
      <w:r w:rsidR="00F830A6" w:rsidRPr="009E53E0">
        <w:rPr>
          <w:sz w:val="24"/>
          <w:szCs w:val="24"/>
        </w:rPr>
        <w:t xml:space="preserve"> yönlü revize),</w:t>
      </w:r>
    </w:p>
    <w:p w:rsidR="00F830A6" w:rsidRPr="009E53E0" w:rsidRDefault="00534A50" w:rsidP="00C50904">
      <w:pPr>
        <w:pStyle w:val="ListeParagraf"/>
        <w:numPr>
          <w:ilvl w:val="0"/>
          <w:numId w:val="1"/>
        </w:numPr>
        <w:spacing w:line="276" w:lineRule="auto"/>
        <w:jc w:val="both"/>
        <w:rPr>
          <w:sz w:val="24"/>
          <w:szCs w:val="24"/>
        </w:rPr>
      </w:pPr>
      <w:r w:rsidRPr="009E53E0">
        <w:rPr>
          <w:sz w:val="24"/>
          <w:szCs w:val="24"/>
        </w:rPr>
        <w:t>Çin’in 2019 yılında %6,2</w:t>
      </w:r>
      <w:r w:rsidR="00F830A6" w:rsidRPr="009E53E0">
        <w:rPr>
          <w:sz w:val="24"/>
          <w:szCs w:val="24"/>
        </w:rPr>
        <w:t xml:space="preserve"> (0,1 yüzde puan </w:t>
      </w:r>
      <w:r w:rsidRPr="009E53E0">
        <w:rPr>
          <w:sz w:val="24"/>
          <w:szCs w:val="24"/>
        </w:rPr>
        <w:t>aşağı revize); 2020 yılında %6,0</w:t>
      </w:r>
      <w:r w:rsidR="00F830A6" w:rsidRPr="009E53E0">
        <w:rPr>
          <w:sz w:val="24"/>
          <w:szCs w:val="24"/>
        </w:rPr>
        <w:t xml:space="preserve"> (0,1 yüzde puan aşağı yönlü revize) </w:t>
      </w:r>
    </w:p>
    <w:p w:rsidR="00F830A6" w:rsidRPr="009E53E0" w:rsidRDefault="00F830A6" w:rsidP="00C50904">
      <w:pPr>
        <w:spacing w:line="276" w:lineRule="auto"/>
        <w:jc w:val="both"/>
        <w:rPr>
          <w:sz w:val="24"/>
          <w:szCs w:val="24"/>
        </w:rPr>
      </w:pPr>
      <w:r w:rsidRPr="009E53E0">
        <w:rPr>
          <w:sz w:val="24"/>
          <w:szCs w:val="24"/>
        </w:rPr>
        <w:t>büyüyeceğini beklemektedir.</w:t>
      </w:r>
    </w:p>
    <w:p w:rsidR="00876A73" w:rsidRPr="009E53E0" w:rsidRDefault="00F14F47" w:rsidP="004A0A58">
      <w:pPr>
        <w:spacing w:line="276" w:lineRule="auto"/>
        <w:jc w:val="both"/>
        <w:rPr>
          <w:sz w:val="24"/>
          <w:szCs w:val="24"/>
        </w:rPr>
      </w:pPr>
      <w:r w:rsidRPr="009E53E0">
        <w:rPr>
          <w:sz w:val="24"/>
          <w:szCs w:val="24"/>
        </w:rPr>
        <w:t>Küresel büyümeye ilişkin IMF tarafından y</w:t>
      </w:r>
      <w:r w:rsidR="00C50904" w:rsidRPr="009E53E0">
        <w:rPr>
          <w:sz w:val="24"/>
          <w:szCs w:val="24"/>
        </w:rPr>
        <w:t>apılan</w:t>
      </w:r>
      <w:r w:rsidR="00F830A6" w:rsidRPr="009E53E0">
        <w:rPr>
          <w:sz w:val="24"/>
          <w:szCs w:val="24"/>
        </w:rPr>
        <w:t xml:space="preserve"> aşağı yönlü revizelerde;</w:t>
      </w:r>
    </w:p>
    <w:p w:rsidR="004A0A58" w:rsidRPr="001121C0" w:rsidRDefault="00F14F47" w:rsidP="004A0A58">
      <w:pPr>
        <w:spacing w:line="276" w:lineRule="auto"/>
        <w:jc w:val="both"/>
        <w:rPr>
          <w:b/>
          <w:sz w:val="24"/>
          <w:szCs w:val="24"/>
        </w:rPr>
      </w:pPr>
      <w:r w:rsidRPr="001121C0">
        <w:rPr>
          <w:b/>
          <w:sz w:val="24"/>
          <w:szCs w:val="24"/>
        </w:rPr>
        <w:t>2019 Mayıs ayında ABD’nin 200 milyar dolar değerindeki Çin ihracatına konu ürünlerde tarife oranlarını %10’dan %25’e yükseltmesi</w:t>
      </w:r>
      <w:r w:rsidR="004A0A58" w:rsidRPr="001121C0">
        <w:rPr>
          <w:b/>
          <w:sz w:val="24"/>
          <w:szCs w:val="24"/>
        </w:rPr>
        <w:t>nin</w:t>
      </w:r>
      <w:r w:rsidRPr="001121C0">
        <w:rPr>
          <w:b/>
          <w:sz w:val="24"/>
          <w:szCs w:val="24"/>
        </w:rPr>
        <w:t xml:space="preserve"> ve Çin’in bu uygulamaya karşılık vermesi</w:t>
      </w:r>
      <w:r w:rsidR="004A0A58" w:rsidRPr="001121C0">
        <w:rPr>
          <w:b/>
          <w:sz w:val="24"/>
          <w:szCs w:val="24"/>
        </w:rPr>
        <w:t xml:space="preserve">nin etkili olduğu belirtilmektedir. </w:t>
      </w:r>
    </w:p>
    <w:p w:rsidR="004A0A58" w:rsidRPr="009E53E0" w:rsidRDefault="004A0A58" w:rsidP="004A0A58">
      <w:pPr>
        <w:spacing w:line="276" w:lineRule="auto"/>
        <w:jc w:val="both"/>
        <w:rPr>
          <w:sz w:val="24"/>
          <w:szCs w:val="24"/>
        </w:rPr>
      </w:pPr>
      <w:r w:rsidRPr="009E53E0">
        <w:rPr>
          <w:sz w:val="24"/>
          <w:szCs w:val="24"/>
        </w:rPr>
        <w:lastRenderedPageBreak/>
        <w:t>Diğer taraftan 2020 yılında 2019 yılına göre büyümede bir toparlanma olacağı belirtilerek bu toparlanmada;</w:t>
      </w:r>
    </w:p>
    <w:p w:rsidR="00F830A6" w:rsidRPr="009E53E0" w:rsidRDefault="004A0A58" w:rsidP="00DD3115">
      <w:pPr>
        <w:pStyle w:val="ListeParagraf"/>
        <w:numPr>
          <w:ilvl w:val="0"/>
          <w:numId w:val="5"/>
        </w:numPr>
        <w:spacing w:line="276" w:lineRule="auto"/>
        <w:jc w:val="both"/>
        <w:rPr>
          <w:sz w:val="24"/>
          <w:szCs w:val="24"/>
        </w:rPr>
      </w:pPr>
      <w:r w:rsidRPr="009E53E0">
        <w:rPr>
          <w:sz w:val="24"/>
          <w:szCs w:val="24"/>
        </w:rPr>
        <w:t>Finansal piyasalara ilişkin gelişmelerin destekleyici olmaya devam etmesinin,</w:t>
      </w:r>
    </w:p>
    <w:p w:rsidR="004A0A58" w:rsidRPr="001121C0" w:rsidRDefault="004A0A58" w:rsidP="00DD3115">
      <w:pPr>
        <w:pStyle w:val="ListeParagraf"/>
        <w:numPr>
          <w:ilvl w:val="0"/>
          <w:numId w:val="5"/>
        </w:numPr>
        <w:spacing w:line="276" w:lineRule="auto"/>
        <w:jc w:val="both"/>
        <w:rPr>
          <w:b/>
          <w:sz w:val="24"/>
          <w:szCs w:val="24"/>
        </w:rPr>
      </w:pPr>
      <w:r w:rsidRPr="001121C0">
        <w:rPr>
          <w:b/>
          <w:sz w:val="24"/>
          <w:szCs w:val="24"/>
        </w:rPr>
        <w:t>Arjantin ve Türkiye gibi bazı gelişmekte olan ülke ekonomilerindeki dengelenmenin,</w:t>
      </w:r>
    </w:p>
    <w:p w:rsidR="004A0A58" w:rsidRPr="009E53E0" w:rsidRDefault="00DD3115" w:rsidP="00DD3115">
      <w:pPr>
        <w:pStyle w:val="ListeParagraf"/>
        <w:numPr>
          <w:ilvl w:val="0"/>
          <w:numId w:val="5"/>
        </w:numPr>
        <w:spacing w:line="276" w:lineRule="auto"/>
        <w:jc w:val="both"/>
        <w:rPr>
          <w:sz w:val="24"/>
          <w:szCs w:val="24"/>
        </w:rPr>
      </w:pPr>
      <w:r w:rsidRPr="009E53E0">
        <w:rPr>
          <w:sz w:val="24"/>
          <w:szCs w:val="24"/>
        </w:rPr>
        <w:t>İran ve Venezuela gibi ülkelerde daha keskin gelişmelerden kaçınılmasının</w:t>
      </w:r>
    </w:p>
    <w:p w:rsidR="00DD3115" w:rsidRPr="009E53E0" w:rsidRDefault="00DD3115" w:rsidP="004A0A58">
      <w:pPr>
        <w:spacing w:line="276" w:lineRule="auto"/>
        <w:jc w:val="both"/>
        <w:rPr>
          <w:sz w:val="24"/>
          <w:szCs w:val="24"/>
        </w:rPr>
      </w:pPr>
      <w:r w:rsidRPr="009E53E0">
        <w:rPr>
          <w:sz w:val="24"/>
          <w:szCs w:val="24"/>
        </w:rPr>
        <w:t>etkili olduğu</w:t>
      </w:r>
      <w:r w:rsidR="00876A73" w:rsidRPr="009E53E0">
        <w:rPr>
          <w:sz w:val="24"/>
          <w:szCs w:val="24"/>
        </w:rPr>
        <w:t xml:space="preserve"> ancak yine de bu toparlanma beklentisinin çok kuvvetli olmadığı</w:t>
      </w:r>
      <w:r w:rsidRPr="009E53E0">
        <w:rPr>
          <w:sz w:val="24"/>
          <w:szCs w:val="24"/>
        </w:rPr>
        <w:t xml:space="preserve"> ifade edilmiştir.</w:t>
      </w:r>
    </w:p>
    <w:p w:rsidR="00DD3115" w:rsidRPr="009E53E0" w:rsidRDefault="00DD3115" w:rsidP="004A0A58">
      <w:pPr>
        <w:spacing w:line="276" w:lineRule="auto"/>
        <w:jc w:val="both"/>
        <w:rPr>
          <w:sz w:val="24"/>
          <w:szCs w:val="24"/>
        </w:rPr>
      </w:pPr>
      <w:r w:rsidRPr="009E53E0">
        <w:rPr>
          <w:sz w:val="24"/>
          <w:szCs w:val="24"/>
        </w:rPr>
        <w:t>Raporda küresel ekonomiye ilişkin olarak;</w:t>
      </w:r>
    </w:p>
    <w:p w:rsidR="00415DEC" w:rsidRPr="009E53E0" w:rsidRDefault="00415DEC" w:rsidP="00415DEC">
      <w:pPr>
        <w:pStyle w:val="ListeParagraf"/>
        <w:numPr>
          <w:ilvl w:val="0"/>
          <w:numId w:val="6"/>
        </w:numPr>
        <w:spacing w:line="276" w:lineRule="auto"/>
        <w:jc w:val="both"/>
        <w:rPr>
          <w:sz w:val="24"/>
          <w:szCs w:val="24"/>
        </w:rPr>
      </w:pPr>
      <w:r w:rsidRPr="009E53E0">
        <w:rPr>
          <w:sz w:val="24"/>
          <w:szCs w:val="24"/>
        </w:rPr>
        <w:t xml:space="preserve">Çin ve ABD arasındaki ticaret gerginliğinin, Haziran ayındaki G20 zirvesinde “ticari müzakerelere devam edilmesi” ve “ek tarifelerin uygulanmaması” yönünde alınan kararların etkisiyle daha da tırmanışa geçmesinin engellendiği, </w:t>
      </w:r>
    </w:p>
    <w:p w:rsidR="00DD3115" w:rsidRPr="009E53E0" w:rsidRDefault="00415DEC" w:rsidP="00415DEC">
      <w:pPr>
        <w:pStyle w:val="ListeParagraf"/>
        <w:numPr>
          <w:ilvl w:val="0"/>
          <w:numId w:val="6"/>
        </w:numPr>
        <w:spacing w:line="276" w:lineRule="auto"/>
        <w:jc w:val="both"/>
        <w:rPr>
          <w:sz w:val="24"/>
          <w:szCs w:val="24"/>
        </w:rPr>
      </w:pPr>
      <w:r w:rsidRPr="009E53E0">
        <w:rPr>
          <w:sz w:val="24"/>
          <w:szCs w:val="24"/>
        </w:rPr>
        <w:t>ABD tarafından Çin’e karşı uygulanan yaptırımların, küresel teknoloji arz zincirlerini tehdit ettiği,</w:t>
      </w:r>
    </w:p>
    <w:p w:rsidR="00415DEC" w:rsidRPr="009E53E0" w:rsidRDefault="00415DEC" w:rsidP="00415DEC">
      <w:pPr>
        <w:pStyle w:val="ListeParagraf"/>
        <w:numPr>
          <w:ilvl w:val="0"/>
          <w:numId w:val="6"/>
        </w:numPr>
        <w:spacing w:line="276" w:lineRule="auto"/>
        <w:jc w:val="both"/>
        <w:rPr>
          <w:sz w:val="24"/>
          <w:szCs w:val="24"/>
        </w:rPr>
      </w:pPr>
      <w:r w:rsidRPr="009E53E0">
        <w:rPr>
          <w:sz w:val="24"/>
          <w:szCs w:val="24"/>
        </w:rPr>
        <w:t>BREXIT kaynaklı belirsizliklerin sürdüğü,</w:t>
      </w:r>
    </w:p>
    <w:p w:rsidR="00415DEC" w:rsidRPr="009E53E0" w:rsidRDefault="00415DEC" w:rsidP="00415DEC">
      <w:pPr>
        <w:pStyle w:val="ListeParagraf"/>
        <w:numPr>
          <w:ilvl w:val="0"/>
          <w:numId w:val="6"/>
        </w:numPr>
        <w:spacing w:line="276" w:lineRule="auto"/>
        <w:jc w:val="both"/>
        <w:rPr>
          <w:sz w:val="24"/>
          <w:szCs w:val="24"/>
        </w:rPr>
      </w:pPr>
      <w:r w:rsidRPr="009E53E0">
        <w:rPr>
          <w:sz w:val="24"/>
          <w:szCs w:val="24"/>
        </w:rPr>
        <w:t>Yıl içinde yayımlanan GSYH ve düşük enflasyon verilerinin, beklenenin altında bir küresel ekonomik aktiviteye işaret ettiği,</w:t>
      </w:r>
    </w:p>
    <w:p w:rsidR="00415DEC" w:rsidRPr="009E53E0" w:rsidRDefault="00415DEC" w:rsidP="00415DEC">
      <w:pPr>
        <w:pStyle w:val="ListeParagraf"/>
        <w:numPr>
          <w:ilvl w:val="0"/>
          <w:numId w:val="6"/>
        </w:numPr>
        <w:spacing w:line="276" w:lineRule="auto"/>
        <w:jc w:val="both"/>
        <w:rPr>
          <w:sz w:val="24"/>
          <w:szCs w:val="24"/>
        </w:rPr>
      </w:pPr>
      <w:r w:rsidRPr="009E53E0">
        <w:rPr>
          <w:sz w:val="24"/>
          <w:szCs w:val="24"/>
        </w:rPr>
        <w:t xml:space="preserve">Dayanıklı tüketim mallarında yatırım ve talebin baskılandığı, makine ve dayanıklı tüketim malları ağırlıklı olan küresel ticaretin ise bu </w:t>
      </w:r>
      <w:r w:rsidR="00876A73" w:rsidRPr="009E53E0">
        <w:rPr>
          <w:sz w:val="24"/>
          <w:szCs w:val="24"/>
        </w:rPr>
        <w:t>durumdan olumsuz etkilendiği,</w:t>
      </w:r>
    </w:p>
    <w:p w:rsidR="00876A73" w:rsidRDefault="009E53E0" w:rsidP="00415DEC">
      <w:pPr>
        <w:pStyle w:val="ListeParagraf"/>
        <w:numPr>
          <w:ilvl w:val="0"/>
          <w:numId w:val="6"/>
        </w:numPr>
        <w:spacing w:line="276" w:lineRule="auto"/>
        <w:jc w:val="both"/>
        <w:rPr>
          <w:sz w:val="24"/>
          <w:szCs w:val="24"/>
        </w:rPr>
      </w:pPr>
      <w:r w:rsidRPr="009E53E0">
        <w:rPr>
          <w:sz w:val="24"/>
          <w:szCs w:val="24"/>
        </w:rPr>
        <w:t>Enflasyondaki aşağı yönlü baskının borçların ödenmesi noktasında zorluklar oluşturduğu, küresel ekonomide tekrarlanabilecek bir kriz durumunda</w:t>
      </w:r>
      <w:r>
        <w:rPr>
          <w:sz w:val="24"/>
          <w:szCs w:val="24"/>
        </w:rPr>
        <w:t xml:space="preserve"> para politikası alanını kısıtladığı</w:t>
      </w:r>
      <w:r w:rsidR="004B7832">
        <w:rPr>
          <w:sz w:val="24"/>
          <w:szCs w:val="24"/>
        </w:rPr>
        <w:t>,</w:t>
      </w:r>
    </w:p>
    <w:p w:rsidR="004B7832" w:rsidRDefault="004B7832" w:rsidP="00415DEC">
      <w:pPr>
        <w:pStyle w:val="ListeParagraf"/>
        <w:numPr>
          <w:ilvl w:val="0"/>
          <w:numId w:val="6"/>
        </w:numPr>
        <w:spacing w:line="276" w:lineRule="auto"/>
        <w:jc w:val="both"/>
        <w:rPr>
          <w:sz w:val="24"/>
          <w:szCs w:val="24"/>
        </w:rPr>
      </w:pPr>
      <w:r>
        <w:rPr>
          <w:sz w:val="24"/>
          <w:szCs w:val="24"/>
        </w:rPr>
        <w:t>Küresel büyümenin istikrarlı bir seyir izlemesi için çok taraflı ve ulusal politikaların önem arz ettiği ve bu kapsamda öncelikle ticari ve teknolojik gerginliklerin önlenmesi ve ticaret anlaşmalarındaki belirsizliklerin ortadan kaldırılması (AB ve Birleşik Krallık ile ABD, Meksika ve Kanada arasındaki anlaşmalar kast edilmektedir.) gerektiği,</w:t>
      </w:r>
    </w:p>
    <w:p w:rsidR="00D62101" w:rsidRPr="00D62101" w:rsidRDefault="00D62101" w:rsidP="00D62101">
      <w:pPr>
        <w:pStyle w:val="ListeParagraf"/>
        <w:numPr>
          <w:ilvl w:val="0"/>
          <w:numId w:val="6"/>
        </w:numPr>
        <w:spacing w:line="276" w:lineRule="auto"/>
        <w:jc w:val="both"/>
        <w:rPr>
          <w:b/>
          <w:sz w:val="24"/>
          <w:szCs w:val="24"/>
        </w:rPr>
      </w:pPr>
      <w:r>
        <w:rPr>
          <w:sz w:val="24"/>
          <w:szCs w:val="24"/>
        </w:rPr>
        <w:t>ABD, Çin ve Japonya’da 2019 ilk çeyrek verilerinin beklentilerden iyi geldiği,</w:t>
      </w:r>
    </w:p>
    <w:p w:rsidR="00D62101" w:rsidRPr="00D62101" w:rsidRDefault="00D62101" w:rsidP="00D62101">
      <w:pPr>
        <w:pStyle w:val="ListeParagraf"/>
        <w:numPr>
          <w:ilvl w:val="0"/>
          <w:numId w:val="6"/>
        </w:numPr>
        <w:spacing w:line="276" w:lineRule="auto"/>
        <w:jc w:val="both"/>
        <w:rPr>
          <w:b/>
          <w:sz w:val="24"/>
          <w:szCs w:val="24"/>
        </w:rPr>
      </w:pPr>
      <w:r>
        <w:rPr>
          <w:sz w:val="24"/>
          <w:szCs w:val="24"/>
        </w:rPr>
        <w:lastRenderedPageBreak/>
        <w:t>Gelişmekte olan Asya ülkeleri ve Latin Amerika ülkelerinde ekonomik performansın hayal kırıklığı yaşattığı,</w:t>
      </w:r>
    </w:p>
    <w:p w:rsidR="00D62101" w:rsidRDefault="00D62101" w:rsidP="00D62101">
      <w:pPr>
        <w:pStyle w:val="ListeParagraf"/>
        <w:numPr>
          <w:ilvl w:val="0"/>
          <w:numId w:val="6"/>
        </w:numPr>
        <w:spacing w:line="276" w:lineRule="auto"/>
        <w:jc w:val="both"/>
        <w:rPr>
          <w:sz w:val="24"/>
          <w:szCs w:val="24"/>
        </w:rPr>
      </w:pPr>
      <w:r w:rsidRPr="00D62101">
        <w:rPr>
          <w:sz w:val="24"/>
          <w:szCs w:val="24"/>
        </w:rPr>
        <w:t xml:space="preserve">Sektörel açıdan hizmet sektörü faaliyetlerinin büyüme oranlarını yukarı yönlü etkilediği ancak imalat </w:t>
      </w:r>
      <w:r w:rsidR="00374F3D">
        <w:rPr>
          <w:sz w:val="24"/>
          <w:szCs w:val="24"/>
        </w:rPr>
        <w:t xml:space="preserve">sanayii </w:t>
      </w:r>
      <w:r w:rsidRPr="00D62101">
        <w:rPr>
          <w:sz w:val="24"/>
          <w:szCs w:val="24"/>
        </w:rPr>
        <w:t>sektörünün 2018 yılının ilk aylarında başlayan yavaşlamasını sürdürdüğü, bu sektörler arasında makine ve ekipmanları ile dayanıklı tüketim ürünleri imalatı (özellikle otomotiv) sektörlerinin ön plana çıktığı</w:t>
      </w:r>
      <w:r>
        <w:rPr>
          <w:sz w:val="24"/>
          <w:szCs w:val="24"/>
        </w:rPr>
        <w:t>, bu gelişmelerin, artan politika belirsizliği ortamında, özel sektör ve hane halkı sektörünün uzun dönem harcamalarında ihtiyatlı davrandığına işaret ettiği,</w:t>
      </w:r>
    </w:p>
    <w:p w:rsidR="00D62101" w:rsidRDefault="00D62101" w:rsidP="00D62101">
      <w:pPr>
        <w:pStyle w:val="ListeParagraf"/>
        <w:numPr>
          <w:ilvl w:val="0"/>
          <w:numId w:val="6"/>
        </w:numPr>
        <w:spacing w:line="276" w:lineRule="auto"/>
        <w:jc w:val="both"/>
        <w:rPr>
          <w:sz w:val="24"/>
          <w:szCs w:val="24"/>
        </w:rPr>
      </w:pPr>
      <w:r>
        <w:rPr>
          <w:sz w:val="24"/>
          <w:szCs w:val="24"/>
        </w:rPr>
        <w:t>ABD’de 0,3 puanlık yukarı yönlü revizede, beklentilerin üzerinde gelen büyüme oranı</w:t>
      </w:r>
      <w:r w:rsidR="00F82B78">
        <w:rPr>
          <w:sz w:val="24"/>
          <w:szCs w:val="24"/>
        </w:rPr>
        <w:t>nın</w:t>
      </w:r>
      <w:r>
        <w:rPr>
          <w:sz w:val="24"/>
          <w:szCs w:val="24"/>
        </w:rPr>
        <w:t xml:space="preserve"> etkili </w:t>
      </w:r>
      <w:r w:rsidR="00F82B78">
        <w:rPr>
          <w:sz w:val="24"/>
          <w:szCs w:val="24"/>
        </w:rPr>
        <w:t>olduğu, ihracat ve stok birikiminin makroekonomik göstergelere katkı sağladığı, ithalatın tarifelerin etkisiyle zayıfladığı, iç talebin ise beklentilerin altında kaldığı,</w:t>
      </w:r>
    </w:p>
    <w:p w:rsidR="001121C0" w:rsidRPr="001121C0" w:rsidRDefault="001121C0" w:rsidP="001121C0">
      <w:pPr>
        <w:spacing w:line="276" w:lineRule="auto"/>
        <w:jc w:val="both"/>
        <w:rPr>
          <w:sz w:val="24"/>
          <w:szCs w:val="24"/>
        </w:rPr>
      </w:pPr>
      <w:r>
        <w:rPr>
          <w:sz w:val="24"/>
          <w:szCs w:val="24"/>
        </w:rPr>
        <w:t>İfade edilmiştir.</w:t>
      </w:r>
    </w:p>
    <w:p w:rsidR="001121C0" w:rsidRPr="00834251" w:rsidRDefault="001121C0" w:rsidP="001121C0">
      <w:pPr>
        <w:spacing w:line="276" w:lineRule="auto"/>
        <w:jc w:val="both"/>
        <w:rPr>
          <w:b/>
          <w:sz w:val="24"/>
          <w:szCs w:val="24"/>
        </w:rPr>
      </w:pPr>
      <w:r w:rsidRPr="00834251">
        <w:rPr>
          <w:b/>
          <w:sz w:val="24"/>
          <w:szCs w:val="24"/>
        </w:rPr>
        <w:t>2-) TÜRKİYE’YE İLİŞKİN DEĞERLENDİRMELER</w:t>
      </w:r>
    </w:p>
    <w:p w:rsidR="001121C0" w:rsidRPr="009E53E0" w:rsidRDefault="001121C0" w:rsidP="001121C0">
      <w:pPr>
        <w:spacing w:line="276" w:lineRule="auto"/>
        <w:jc w:val="both"/>
        <w:rPr>
          <w:sz w:val="24"/>
          <w:szCs w:val="24"/>
        </w:rPr>
      </w:pPr>
      <w:r>
        <w:rPr>
          <w:sz w:val="24"/>
          <w:szCs w:val="24"/>
        </w:rPr>
        <w:t xml:space="preserve">Raporda </w:t>
      </w:r>
      <w:r w:rsidRPr="009E53E0">
        <w:rPr>
          <w:sz w:val="24"/>
          <w:szCs w:val="24"/>
        </w:rPr>
        <w:t>Türkiye’ye ilişkin olarak</w:t>
      </w:r>
      <w:r>
        <w:rPr>
          <w:sz w:val="24"/>
          <w:szCs w:val="24"/>
        </w:rPr>
        <w:t xml:space="preserve"> tahminlerde bir değişikliğe gidilmemiş (2019: -%2,5, 2020: %2,5) olup</w:t>
      </w:r>
      <w:r w:rsidRPr="009E53E0">
        <w:rPr>
          <w:sz w:val="24"/>
          <w:szCs w:val="24"/>
        </w:rPr>
        <w:t>;</w:t>
      </w:r>
    </w:p>
    <w:p w:rsidR="001121C0" w:rsidRPr="00834251" w:rsidRDefault="001121C0" w:rsidP="001121C0">
      <w:pPr>
        <w:pStyle w:val="ListeParagraf"/>
        <w:numPr>
          <w:ilvl w:val="0"/>
          <w:numId w:val="7"/>
        </w:numPr>
        <w:spacing w:line="276" w:lineRule="auto"/>
        <w:jc w:val="both"/>
        <w:rPr>
          <w:sz w:val="24"/>
          <w:szCs w:val="24"/>
        </w:rPr>
      </w:pPr>
      <w:r w:rsidRPr="00834251">
        <w:rPr>
          <w:sz w:val="24"/>
          <w:szCs w:val="24"/>
        </w:rPr>
        <w:t>2019 yılında ekonomik aktivitedeki daralmanın devam etmesinin beklendiği,</w:t>
      </w:r>
    </w:p>
    <w:p w:rsidR="001121C0" w:rsidRPr="00834251" w:rsidRDefault="001121C0" w:rsidP="001121C0">
      <w:pPr>
        <w:pStyle w:val="ListeParagraf"/>
        <w:numPr>
          <w:ilvl w:val="0"/>
          <w:numId w:val="7"/>
        </w:numPr>
        <w:spacing w:line="276" w:lineRule="auto"/>
        <w:jc w:val="both"/>
        <w:rPr>
          <w:sz w:val="24"/>
          <w:szCs w:val="24"/>
        </w:rPr>
      </w:pPr>
      <w:r w:rsidRPr="00834251">
        <w:rPr>
          <w:sz w:val="24"/>
          <w:szCs w:val="24"/>
        </w:rPr>
        <w:t>Zorlu makroekonomik uyum süreçlerinin ortasında şu anda gelişmekte olan pazarlarda (Türkiye ve Arjantin gibi ülkelerde) stresin yoğunlaştığı</w:t>
      </w:r>
      <w:r>
        <w:rPr>
          <w:sz w:val="24"/>
          <w:szCs w:val="24"/>
        </w:rPr>
        <w:t>,</w:t>
      </w:r>
    </w:p>
    <w:p w:rsidR="001121C0" w:rsidRPr="009E53E0" w:rsidRDefault="001121C0" w:rsidP="001121C0">
      <w:pPr>
        <w:spacing w:line="276" w:lineRule="auto"/>
        <w:jc w:val="both"/>
        <w:rPr>
          <w:sz w:val="24"/>
          <w:szCs w:val="24"/>
        </w:rPr>
      </w:pPr>
      <w:r>
        <w:rPr>
          <w:sz w:val="24"/>
          <w:szCs w:val="24"/>
        </w:rPr>
        <w:t>b</w:t>
      </w:r>
      <w:r w:rsidRPr="009E53E0">
        <w:rPr>
          <w:sz w:val="24"/>
          <w:szCs w:val="24"/>
        </w:rPr>
        <w:t>elirtilmiştir.</w:t>
      </w:r>
      <w:r w:rsidRPr="009E53E0">
        <w:rPr>
          <w:sz w:val="24"/>
          <w:szCs w:val="24"/>
        </w:rPr>
        <w:br w:type="page"/>
      </w:r>
    </w:p>
    <w:p w:rsidR="001121C0" w:rsidRDefault="001121C0" w:rsidP="001121C0">
      <w:pPr>
        <w:spacing w:after="0"/>
        <w:rPr>
          <w:b/>
          <w:bCs/>
          <w:color w:val="000000"/>
        </w:rPr>
      </w:pPr>
      <w:r>
        <w:rPr>
          <w:b/>
          <w:bCs/>
          <w:color w:val="000000"/>
        </w:rPr>
        <w:lastRenderedPageBreak/>
        <w:t xml:space="preserve">                    </w:t>
      </w:r>
      <w:r w:rsidRPr="009E53E0">
        <w:rPr>
          <w:b/>
          <w:bCs/>
          <w:color w:val="000000"/>
        </w:rPr>
        <w:t>Tablo 1: Küresel Ekonomiye İlişkin Projeksiyonlar</w:t>
      </w:r>
    </w:p>
    <w:tbl>
      <w:tblPr>
        <w:tblW w:w="7057" w:type="dxa"/>
        <w:jc w:val="center"/>
        <w:tblCellMar>
          <w:left w:w="70" w:type="dxa"/>
          <w:right w:w="70" w:type="dxa"/>
        </w:tblCellMar>
        <w:tblLook w:val="04A0" w:firstRow="1" w:lastRow="0" w:firstColumn="1" w:lastColumn="0" w:noHBand="0" w:noVBand="1"/>
      </w:tblPr>
      <w:tblGrid>
        <w:gridCol w:w="2870"/>
        <w:gridCol w:w="611"/>
        <w:gridCol w:w="526"/>
        <w:gridCol w:w="710"/>
        <w:gridCol w:w="696"/>
        <w:gridCol w:w="181"/>
        <w:gridCol w:w="724"/>
        <w:gridCol w:w="739"/>
      </w:tblGrid>
      <w:tr w:rsidR="001121C0" w:rsidRPr="00783A93" w:rsidTr="00965ACF">
        <w:trPr>
          <w:trHeight w:val="350"/>
          <w:jc w:val="center"/>
        </w:trPr>
        <w:tc>
          <w:tcPr>
            <w:tcW w:w="2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21C0" w:rsidRPr="00783A93" w:rsidRDefault="001121C0" w:rsidP="00965ACF">
            <w:pPr>
              <w:spacing w:after="0" w:line="240" w:lineRule="auto"/>
              <w:jc w:val="center"/>
              <w:rPr>
                <w:rFonts w:ascii="Calibri" w:eastAsia="Times New Roman" w:hAnsi="Calibri" w:cs="Calibri"/>
                <w:b/>
                <w:bCs/>
                <w:color w:val="000000"/>
                <w:sz w:val="18"/>
                <w:szCs w:val="24"/>
                <w:lang w:eastAsia="tr-TR"/>
              </w:rPr>
            </w:pPr>
            <w:r w:rsidRPr="00783A93">
              <w:rPr>
                <w:rFonts w:ascii="Calibri" w:eastAsia="Times New Roman" w:hAnsi="Calibri" w:cs="Calibri"/>
                <w:b/>
                <w:bCs/>
                <w:color w:val="000000"/>
                <w:sz w:val="18"/>
                <w:szCs w:val="24"/>
                <w:lang w:eastAsia="tr-TR"/>
              </w:rPr>
              <w:t> </w:t>
            </w:r>
          </w:p>
        </w:tc>
        <w:tc>
          <w:tcPr>
            <w:tcW w:w="4187"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121C0" w:rsidRPr="00783A93" w:rsidRDefault="001121C0" w:rsidP="00965ACF">
            <w:pPr>
              <w:spacing w:after="0" w:line="240" w:lineRule="auto"/>
              <w:jc w:val="center"/>
              <w:rPr>
                <w:rFonts w:ascii="Calibri" w:eastAsia="Times New Roman" w:hAnsi="Calibri" w:cs="Calibri"/>
                <w:b/>
                <w:bCs/>
                <w:color w:val="000000"/>
                <w:sz w:val="18"/>
                <w:szCs w:val="24"/>
                <w:lang w:eastAsia="tr-TR"/>
              </w:rPr>
            </w:pPr>
            <w:r w:rsidRPr="00783A93">
              <w:rPr>
                <w:rFonts w:ascii="Calibri" w:eastAsia="Times New Roman" w:hAnsi="Calibri" w:cs="Calibri"/>
                <w:b/>
                <w:bCs/>
                <w:color w:val="000000"/>
                <w:sz w:val="18"/>
                <w:szCs w:val="24"/>
                <w:lang w:eastAsia="tr-TR"/>
              </w:rPr>
              <w:t>Yıllık Bazda</w:t>
            </w:r>
          </w:p>
        </w:tc>
      </w:tr>
      <w:tr w:rsidR="001121C0" w:rsidRPr="00783A93" w:rsidTr="00965ACF">
        <w:trPr>
          <w:trHeight w:val="592"/>
          <w:jc w:val="center"/>
        </w:trPr>
        <w:tc>
          <w:tcPr>
            <w:tcW w:w="2870" w:type="dxa"/>
            <w:vMerge w:val="restart"/>
            <w:tcBorders>
              <w:top w:val="nil"/>
              <w:left w:val="single" w:sz="4" w:space="0" w:color="auto"/>
              <w:bottom w:val="single" w:sz="4" w:space="0" w:color="auto"/>
              <w:right w:val="single" w:sz="4" w:space="0" w:color="auto"/>
            </w:tcBorders>
            <w:shd w:val="clear" w:color="auto" w:fill="auto"/>
            <w:vAlign w:val="center"/>
            <w:hideMark/>
          </w:tcPr>
          <w:p w:rsidR="001121C0" w:rsidRPr="00783A93" w:rsidRDefault="001121C0" w:rsidP="00965ACF">
            <w:pPr>
              <w:spacing w:after="0" w:line="240" w:lineRule="auto"/>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 </w:t>
            </w:r>
          </w:p>
        </w:tc>
        <w:tc>
          <w:tcPr>
            <w:tcW w:w="113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121C0" w:rsidRPr="00783A93" w:rsidRDefault="001121C0" w:rsidP="00965ACF">
            <w:pPr>
              <w:spacing w:after="0" w:line="240" w:lineRule="auto"/>
              <w:jc w:val="center"/>
              <w:rPr>
                <w:rFonts w:ascii="Calibri" w:eastAsia="Times New Roman" w:hAnsi="Calibri" w:cs="Calibri"/>
                <w:b/>
                <w:bCs/>
                <w:color w:val="000000"/>
                <w:sz w:val="18"/>
                <w:szCs w:val="24"/>
                <w:lang w:eastAsia="tr-TR"/>
              </w:rPr>
            </w:pPr>
            <w:r w:rsidRPr="00783A93">
              <w:rPr>
                <w:rFonts w:ascii="Calibri" w:eastAsia="Times New Roman" w:hAnsi="Calibri" w:cs="Calibri"/>
                <w:b/>
                <w:bCs/>
                <w:color w:val="000000"/>
                <w:sz w:val="18"/>
                <w:szCs w:val="24"/>
                <w:lang w:eastAsia="tr-TR"/>
              </w:rPr>
              <w:t> </w:t>
            </w:r>
          </w:p>
        </w:tc>
        <w:tc>
          <w:tcPr>
            <w:tcW w:w="1406" w:type="dxa"/>
            <w:gridSpan w:val="2"/>
            <w:tcBorders>
              <w:top w:val="single" w:sz="4" w:space="0" w:color="auto"/>
              <w:left w:val="nil"/>
              <w:bottom w:val="single" w:sz="4" w:space="0" w:color="auto"/>
              <w:right w:val="single" w:sz="4" w:space="0" w:color="auto"/>
            </w:tcBorders>
            <w:shd w:val="clear" w:color="000000" w:fill="E9E9FF"/>
            <w:vAlign w:val="center"/>
            <w:hideMark/>
          </w:tcPr>
          <w:p w:rsidR="001121C0" w:rsidRPr="00783A93" w:rsidRDefault="001121C0" w:rsidP="00965ACF">
            <w:pPr>
              <w:spacing w:after="0" w:line="240" w:lineRule="auto"/>
              <w:ind w:firstLineChars="200" w:firstLine="360"/>
              <w:rPr>
                <w:rFonts w:ascii="Calibri" w:eastAsia="Times New Roman" w:hAnsi="Calibri" w:cs="Calibri"/>
                <w:b/>
                <w:bCs/>
                <w:sz w:val="18"/>
                <w:szCs w:val="24"/>
                <w:lang w:eastAsia="tr-TR"/>
              </w:rPr>
            </w:pPr>
            <w:r w:rsidRPr="00783A93">
              <w:rPr>
                <w:rFonts w:ascii="Calibri" w:eastAsia="Times New Roman" w:hAnsi="Calibri" w:cs="Calibri"/>
                <w:b/>
                <w:bCs/>
                <w:sz w:val="18"/>
                <w:szCs w:val="24"/>
                <w:lang w:eastAsia="tr-TR"/>
              </w:rPr>
              <w:t>Tahminler</w:t>
            </w:r>
          </w:p>
        </w:tc>
        <w:tc>
          <w:tcPr>
            <w:tcW w:w="181" w:type="dxa"/>
            <w:tcBorders>
              <w:top w:val="nil"/>
              <w:left w:val="nil"/>
              <w:bottom w:val="single" w:sz="4" w:space="0" w:color="auto"/>
              <w:right w:val="single" w:sz="4" w:space="0" w:color="auto"/>
            </w:tcBorders>
            <w:shd w:val="clear" w:color="auto" w:fill="auto"/>
            <w:vAlign w:val="center"/>
            <w:hideMark/>
          </w:tcPr>
          <w:p w:rsidR="001121C0" w:rsidRPr="00783A93" w:rsidRDefault="001121C0" w:rsidP="00965ACF">
            <w:pPr>
              <w:spacing w:after="0" w:line="240" w:lineRule="auto"/>
              <w:rPr>
                <w:rFonts w:ascii="Calibri" w:eastAsia="Times New Roman" w:hAnsi="Calibri" w:cs="Calibri"/>
                <w:b/>
                <w:bCs/>
                <w:color w:val="000000"/>
                <w:sz w:val="18"/>
                <w:szCs w:val="24"/>
                <w:lang w:eastAsia="tr-TR"/>
              </w:rPr>
            </w:pPr>
            <w:r w:rsidRPr="00783A93">
              <w:rPr>
                <w:rFonts w:ascii="Calibri" w:eastAsia="Times New Roman" w:hAnsi="Calibri" w:cs="Calibri"/>
                <w:b/>
                <w:bCs/>
                <w:color w:val="000000"/>
                <w:sz w:val="18"/>
                <w:szCs w:val="24"/>
                <w:lang w:eastAsia="tr-TR"/>
              </w:rPr>
              <w:t> </w:t>
            </w:r>
          </w:p>
        </w:tc>
        <w:tc>
          <w:tcPr>
            <w:tcW w:w="1463" w:type="dxa"/>
            <w:gridSpan w:val="2"/>
            <w:tcBorders>
              <w:top w:val="single" w:sz="4" w:space="0" w:color="auto"/>
              <w:left w:val="nil"/>
              <w:bottom w:val="single" w:sz="4" w:space="0" w:color="auto"/>
              <w:right w:val="single" w:sz="4" w:space="0" w:color="auto"/>
            </w:tcBorders>
            <w:shd w:val="clear" w:color="000000" w:fill="E9E9FF"/>
            <w:vAlign w:val="center"/>
            <w:hideMark/>
          </w:tcPr>
          <w:p w:rsidR="001121C0" w:rsidRPr="00783A93" w:rsidRDefault="001121C0" w:rsidP="00965ACF">
            <w:pPr>
              <w:spacing w:after="0" w:line="240" w:lineRule="auto"/>
              <w:jc w:val="center"/>
              <w:rPr>
                <w:rFonts w:ascii="Calibri" w:eastAsia="Times New Roman" w:hAnsi="Calibri" w:cs="Calibri"/>
                <w:b/>
                <w:bCs/>
                <w:sz w:val="18"/>
                <w:szCs w:val="24"/>
                <w:lang w:eastAsia="tr-TR"/>
              </w:rPr>
            </w:pPr>
            <w:r w:rsidRPr="00783A93">
              <w:rPr>
                <w:rFonts w:ascii="Calibri" w:eastAsia="Times New Roman" w:hAnsi="Calibri" w:cs="Calibri"/>
                <w:b/>
                <w:bCs/>
                <w:sz w:val="18"/>
                <w:szCs w:val="24"/>
                <w:lang w:eastAsia="tr-TR"/>
              </w:rPr>
              <w:t>2019 Yılı Nisan Ayı Raporuna Göre Değişim %</w:t>
            </w:r>
          </w:p>
        </w:tc>
      </w:tr>
      <w:tr w:rsidR="001121C0" w:rsidRPr="00783A93" w:rsidTr="00965ACF">
        <w:trPr>
          <w:trHeight w:val="218"/>
          <w:jc w:val="center"/>
        </w:trPr>
        <w:tc>
          <w:tcPr>
            <w:tcW w:w="2870" w:type="dxa"/>
            <w:vMerge/>
            <w:tcBorders>
              <w:top w:val="nil"/>
              <w:left w:val="single" w:sz="4" w:space="0" w:color="auto"/>
              <w:bottom w:val="single" w:sz="4" w:space="0" w:color="auto"/>
              <w:right w:val="single" w:sz="4" w:space="0" w:color="auto"/>
            </w:tcBorders>
            <w:vAlign w:val="center"/>
            <w:hideMark/>
          </w:tcPr>
          <w:p w:rsidR="001121C0" w:rsidRPr="00783A93" w:rsidRDefault="001121C0" w:rsidP="00965ACF">
            <w:pPr>
              <w:spacing w:after="0" w:line="240" w:lineRule="auto"/>
              <w:rPr>
                <w:rFonts w:ascii="Calibri" w:eastAsia="Times New Roman" w:hAnsi="Calibri" w:cs="Calibri"/>
                <w:color w:val="000000"/>
                <w:sz w:val="18"/>
                <w:szCs w:val="24"/>
                <w:lang w:eastAsia="tr-TR"/>
              </w:rPr>
            </w:pPr>
          </w:p>
        </w:tc>
        <w:tc>
          <w:tcPr>
            <w:tcW w:w="611" w:type="dxa"/>
            <w:tcBorders>
              <w:top w:val="nil"/>
              <w:left w:val="nil"/>
              <w:bottom w:val="single" w:sz="4" w:space="0" w:color="auto"/>
              <w:right w:val="single" w:sz="4" w:space="0" w:color="auto"/>
            </w:tcBorders>
            <w:shd w:val="clear" w:color="auto" w:fill="auto"/>
            <w:noWrap/>
            <w:vAlign w:val="center"/>
            <w:hideMark/>
          </w:tcPr>
          <w:p w:rsidR="001121C0" w:rsidRPr="00783A93" w:rsidRDefault="001121C0" w:rsidP="00965ACF">
            <w:pPr>
              <w:spacing w:after="0" w:line="240" w:lineRule="auto"/>
              <w:jc w:val="center"/>
              <w:rPr>
                <w:rFonts w:ascii="Calibri" w:eastAsia="Times New Roman" w:hAnsi="Calibri" w:cs="Calibri"/>
                <w:b/>
                <w:bCs/>
                <w:color w:val="000000"/>
                <w:sz w:val="18"/>
                <w:szCs w:val="24"/>
                <w:lang w:eastAsia="tr-TR"/>
              </w:rPr>
            </w:pPr>
            <w:r w:rsidRPr="00783A93">
              <w:rPr>
                <w:rFonts w:ascii="Calibri" w:eastAsia="Times New Roman" w:hAnsi="Calibri" w:cs="Calibri"/>
                <w:b/>
                <w:bCs/>
                <w:color w:val="000000"/>
                <w:sz w:val="18"/>
                <w:szCs w:val="24"/>
                <w:lang w:eastAsia="tr-TR"/>
              </w:rPr>
              <w:t>2017</w:t>
            </w:r>
          </w:p>
        </w:tc>
        <w:tc>
          <w:tcPr>
            <w:tcW w:w="526" w:type="dxa"/>
            <w:tcBorders>
              <w:top w:val="nil"/>
              <w:left w:val="nil"/>
              <w:bottom w:val="single" w:sz="4" w:space="0" w:color="auto"/>
              <w:right w:val="single" w:sz="4" w:space="0" w:color="auto"/>
            </w:tcBorders>
            <w:shd w:val="clear" w:color="auto" w:fill="auto"/>
            <w:noWrap/>
            <w:vAlign w:val="center"/>
            <w:hideMark/>
          </w:tcPr>
          <w:p w:rsidR="001121C0" w:rsidRPr="00783A93" w:rsidRDefault="001121C0" w:rsidP="00965ACF">
            <w:pPr>
              <w:spacing w:after="0" w:line="240" w:lineRule="auto"/>
              <w:jc w:val="center"/>
              <w:rPr>
                <w:rFonts w:ascii="Calibri" w:eastAsia="Times New Roman" w:hAnsi="Calibri" w:cs="Calibri"/>
                <w:b/>
                <w:bCs/>
                <w:color w:val="000000"/>
                <w:sz w:val="18"/>
                <w:szCs w:val="24"/>
                <w:lang w:eastAsia="tr-TR"/>
              </w:rPr>
            </w:pPr>
            <w:r w:rsidRPr="00783A93">
              <w:rPr>
                <w:rFonts w:ascii="Calibri" w:eastAsia="Times New Roman" w:hAnsi="Calibri" w:cs="Calibri"/>
                <w:b/>
                <w:bCs/>
                <w:color w:val="000000"/>
                <w:sz w:val="18"/>
                <w:szCs w:val="24"/>
                <w:lang w:eastAsia="tr-TR"/>
              </w:rPr>
              <w:t>2018</w:t>
            </w:r>
          </w:p>
        </w:tc>
        <w:tc>
          <w:tcPr>
            <w:tcW w:w="710"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b/>
                <w:bCs/>
                <w:color w:val="000000"/>
                <w:sz w:val="18"/>
                <w:szCs w:val="24"/>
                <w:lang w:eastAsia="tr-TR"/>
              </w:rPr>
            </w:pPr>
            <w:r w:rsidRPr="00783A93">
              <w:rPr>
                <w:rFonts w:ascii="Calibri" w:eastAsia="Times New Roman" w:hAnsi="Calibri" w:cs="Calibri"/>
                <w:b/>
                <w:bCs/>
                <w:color w:val="000000"/>
                <w:sz w:val="18"/>
                <w:szCs w:val="24"/>
                <w:lang w:eastAsia="tr-TR"/>
              </w:rPr>
              <w:t>2019</w:t>
            </w:r>
          </w:p>
        </w:tc>
        <w:tc>
          <w:tcPr>
            <w:tcW w:w="696"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b/>
                <w:bCs/>
                <w:color w:val="000000"/>
                <w:sz w:val="18"/>
                <w:szCs w:val="24"/>
                <w:lang w:eastAsia="tr-TR"/>
              </w:rPr>
            </w:pPr>
            <w:r w:rsidRPr="00783A93">
              <w:rPr>
                <w:rFonts w:ascii="Calibri" w:eastAsia="Times New Roman" w:hAnsi="Calibri" w:cs="Calibri"/>
                <w:b/>
                <w:bCs/>
                <w:color w:val="000000"/>
                <w:sz w:val="18"/>
                <w:szCs w:val="24"/>
                <w:lang w:eastAsia="tr-TR"/>
              </w:rPr>
              <w:t>2020</w:t>
            </w:r>
          </w:p>
        </w:tc>
        <w:tc>
          <w:tcPr>
            <w:tcW w:w="181" w:type="dxa"/>
            <w:tcBorders>
              <w:top w:val="nil"/>
              <w:left w:val="nil"/>
              <w:bottom w:val="single" w:sz="4" w:space="0" w:color="auto"/>
              <w:right w:val="single" w:sz="4" w:space="0" w:color="auto"/>
            </w:tcBorders>
            <w:shd w:val="clear" w:color="auto" w:fill="auto"/>
            <w:vAlign w:val="center"/>
            <w:hideMark/>
          </w:tcPr>
          <w:p w:rsidR="001121C0" w:rsidRPr="00783A93" w:rsidRDefault="001121C0" w:rsidP="00965ACF">
            <w:pPr>
              <w:spacing w:after="0" w:line="240" w:lineRule="auto"/>
              <w:jc w:val="center"/>
              <w:rPr>
                <w:rFonts w:ascii="Calibri" w:eastAsia="Times New Roman" w:hAnsi="Calibri" w:cs="Calibri"/>
                <w:b/>
                <w:bCs/>
                <w:color w:val="000000"/>
                <w:sz w:val="18"/>
                <w:szCs w:val="24"/>
                <w:lang w:eastAsia="tr-TR"/>
              </w:rPr>
            </w:pPr>
            <w:r w:rsidRPr="00783A93">
              <w:rPr>
                <w:rFonts w:ascii="Calibri" w:eastAsia="Times New Roman" w:hAnsi="Calibri" w:cs="Calibri"/>
                <w:b/>
                <w:bCs/>
                <w:color w:val="000000"/>
                <w:sz w:val="18"/>
                <w:szCs w:val="24"/>
                <w:lang w:eastAsia="tr-TR"/>
              </w:rPr>
              <w:t> </w:t>
            </w:r>
          </w:p>
        </w:tc>
        <w:tc>
          <w:tcPr>
            <w:tcW w:w="724"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b/>
                <w:bCs/>
                <w:color w:val="000000"/>
                <w:sz w:val="18"/>
                <w:szCs w:val="24"/>
                <w:lang w:eastAsia="tr-TR"/>
              </w:rPr>
            </w:pPr>
            <w:r w:rsidRPr="00783A93">
              <w:rPr>
                <w:rFonts w:ascii="Calibri" w:eastAsia="Times New Roman" w:hAnsi="Calibri" w:cs="Calibri"/>
                <w:b/>
                <w:bCs/>
                <w:color w:val="000000"/>
                <w:sz w:val="18"/>
                <w:szCs w:val="24"/>
                <w:lang w:eastAsia="tr-TR"/>
              </w:rPr>
              <w:t>2019</w:t>
            </w:r>
          </w:p>
        </w:tc>
        <w:tc>
          <w:tcPr>
            <w:tcW w:w="739"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b/>
                <w:bCs/>
                <w:color w:val="000000"/>
                <w:sz w:val="18"/>
                <w:szCs w:val="24"/>
                <w:lang w:eastAsia="tr-TR"/>
              </w:rPr>
            </w:pPr>
            <w:r w:rsidRPr="00783A93">
              <w:rPr>
                <w:rFonts w:ascii="Calibri" w:eastAsia="Times New Roman" w:hAnsi="Calibri" w:cs="Calibri"/>
                <w:b/>
                <w:bCs/>
                <w:color w:val="000000"/>
                <w:sz w:val="18"/>
                <w:szCs w:val="24"/>
                <w:lang w:eastAsia="tr-TR"/>
              </w:rPr>
              <w:t>2020</w:t>
            </w:r>
          </w:p>
        </w:tc>
      </w:tr>
      <w:tr w:rsidR="001121C0" w:rsidRPr="00783A93" w:rsidTr="00965ACF">
        <w:trPr>
          <w:trHeight w:val="260"/>
          <w:jc w:val="center"/>
        </w:trPr>
        <w:tc>
          <w:tcPr>
            <w:tcW w:w="2870" w:type="dxa"/>
            <w:tcBorders>
              <w:top w:val="nil"/>
              <w:left w:val="single" w:sz="4" w:space="0" w:color="auto"/>
              <w:bottom w:val="single" w:sz="4" w:space="0" w:color="auto"/>
              <w:right w:val="single" w:sz="4" w:space="0" w:color="auto"/>
            </w:tcBorders>
            <w:shd w:val="clear" w:color="auto" w:fill="auto"/>
            <w:vAlign w:val="center"/>
            <w:hideMark/>
          </w:tcPr>
          <w:p w:rsidR="001121C0" w:rsidRPr="00783A93" w:rsidRDefault="001121C0" w:rsidP="00965ACF">
            <w:pPr>
              <w:spacing w:after="0" w:line="240" w:lineRule="auto"/>
              <w:rPr>
                <w:rFonts w:ascii="Calibri" w:eastAsia="Times New Roman" w:hAnsi="Calibri" w:cs="Calibri"/>
                <w:b/>
                <w:bCs/>
                <w:sz w:val="18"/>
                <w:szCs w:val="24"/>
                <w:lang w:eastAsia="tr-TR"/>
              </w:rPr>
            </w:pPr>
            <w:r w:rsidRPr="00783A93">
              <w:rPr>
                <w:rFonts w:ascii="Calibri" w:eastAsia="Times New Roman" w:hAnsi="Calibri" w:cs="Calibri"/>
                <w:b/>
                <w:bCs/>
                <w:sz w:val="18"/>
                <w:szCs w:val="24"/>
                <w:lang w:eastAsia="tr-TR"/>
              </w:rPr>
              <w:t>Dünya</w:t>
            </w:r>
          </w:p>
        </w:tc>
        <w:tc>
          <w:tcPr>
            <w:tcW w:w="611" w:type="dxa"/>
            <w:tcBorders>
              <w:top w:val="nil"/>
              <w:left w:val="nil"/>
              <w:bottom w:val="single" w:sz="4" w:space="0" w:color="auto"/>
              <w:right w:val="single" w:sz="4" w:space="0" w:color="auto"/>
            </w:tcBorders>
            <w:shd w:val="clear" w:color="auto" w:fill="auto"/>
            <w:noWrap/>
            <w:vAlign w:val="center"/>
            <w:hideMark/>
          </w:tcPr>
          <w:p w:rsidR="001121C0" w:rsidRPr="00783A93" w:rsidRDefault="001121C0" w:rsidP="00965ACF">
            <w:pPr>
              <w:spacing w:after="0" w:line="240" w:lineRule="auto"/>
              <w:jc w:val="center"/>
              <w:rPr>
                <w:rFonts w:ascii="Calibri" w:eastAsia="Times New Roman" w:hAnsi="Calibri" w:cs="Calibri"/>
                <w:b/>
                <w:bCs/>
                <w:color w:val="000000"/>
                <w:sz w:val="18"/>
                <w:szCs w:val="24"/>
                <w:lang w:eastAsia="tr-TR"/>
              </w:rPr>
            </w:pPr>
            <w:r w:rsidRPr="00783A93">
              <w:rPr>
                <w:rFonts w:ascii="Calibri" w:eastAsia="Times New Roman" w:hAnsi="Calibri" w:cs="Calibri"/>
                <w:b/>
                <w:bCs/>
                <w:color w:val="000000"/>
                <w:sz w:val="18"/>
                <w:szCs w:val="24"/>
                <w:lang w:eastAsia="tr-TR"/>
              </w:rPr>
              <w:t>3,8</w:t>
            </w:r>
          </w:p>
        </w:tc>
        <w:tc>
          <w:tcPr>
            <w:tcW w:w="526" w:type="dxa"/>
            <w:tcBorders>
              <w:top w:val="nil"/>
              <w:left w:val="nil"/>
              <w:bottom w:val="single" w:sz="4" w:space="0" w:color="auto"/>
              <w:right w:val="single" w:sz="4" w:space="0" w:color="auto"/>
            </w:tcBorders>
            <w:shd w:val="clear" w:color="auto" w:fill="auto"/>
            <w:noWrap/>
            <w:vAlign w:val="center"/>
            <w:hideMark/>
          </w:tcPr>
          <w:p w:rsidR="001121C0" w:rsidRPr="00783A93" w:rsidRDefault="001121C0" w:rsidP="00965ACF">
            <w:pPr>
              <w:spacing w:after="0" w:line="240" w:lineRule="auto"/>
              <w:jc w:val="center"/>
              <w:rPr>
                <w:rFonts w:ascii="Calibri" w:eastAsia="Times New Roman" w:hAnsi="Calibri" w:cs="Calibri"/>
                <w:b/>
                <w:bCs/>
                <w:color w:val="000000"/>
                <w:sz w:val="18"/>
                <w:szCs w:val="24"/>
                <w:lang w:eastAsia="tr-TR"/>
              </w:rPr>
            </w:pPr>
            <w:r w:rsidRPr="00783A93">
              <w:rPr>
                <w:rFonts w:ascii="Calibri" w:eastAsia="Times New Roman" w:hAnsi="Calibri" w:cs="Calibri"/>
                <w:b/>
                <w:bCs/>
                <w:color w:val="000000"/>
                <w:sz w:val="18"/>
                <w:szCs w:val="24"/>
                <w:lang w:eastAsia="tr-TR"/>
              </w:rPr>
              <w:t>3,6</w:t>
            </w:r>
          </w:p>
        </w:tc>
        <w:tc>
          <w:tcPr>
            <w:tcW w:w="710"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b/>
                <w:bCs/>
                <w:color w:val="000000"/>
                <w:sz w:val="18"/>
                <w:szCs w:val="24"/>
                <w:lang w:eastAsia="tr-TR"/>
              </w:rPr>
            </w:pPr>
            <w:r w:rsidRPr="00783A93">
              <w:rPr>
                <w:rFonts w:ascii="Calibri" w:eastAsia="Times New Roman" w:hAnsi="Calibri" w:cs="Calibri"/>
                <w:b/>
                <w:bCs/>
                <w:color w:val="000000"/>
                <w:sz w:val="18"/>
                <w:szCs w:val="24"/>
                <w:lang w:eastAsia="tr-TR"/>
              </w:rPr>
              <w:t>3,2</w:t>
            </w:r>
          </w:p>
        </w:tc>
        <w:tc>
          <w:tcPr>
            <w:tcW w:w="696"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b/>
                <w:bCs/>
                <w:color w:val="000000"/>
                <w:sz w:val="18"/>
                <w:szCs w:val="24"/>
                <w:lang w:eastAsia="tr-TR"/>
              </w:rPr>
            </w:pPr>
            <w:r w:rsidRPr="00783A93">
              <w:rPr>
                <w:rFonts w:ascii="Calibri" w:eastAsia="Times New Roman" w:hAnsi="Calibri" w:cs="Calibri"/>
                <w:b/>
                <w:bCs/>
                <w:color w:val="000000"/>
                <w:sz w:val="18"/>
                <w:szCs w:val="24"/>
                <w:lang w:eastAsia="tr-TR"/>
              </w:rPr>
              <w:t>3,5</w:t>
            </w:r>
          </w:p>
        </w:tc>
        <w:tc>
          <w:tcPr>
            <w:tcW w:w="181" w:type="dxa"/>
            <w:vMerge w:val="restart"/>
            <w:tcBorders>
              <w:top w:val="nil"/>
              <w:left w:val="single" w:sz="4" w:space="0" w:color="auto"/>
              <w:bottom w:val="single" w:sz="4" w:space="0" w:color="auto"/>
              <w:right w:val="single" w:sz="4" w:space="0" w:color="auto"/>
            </w:tcBorders>
            <w:shd w:val="clear" w:color="auto" w:fill="auto"/>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 </w:t>
            </w:r>
          </w:p>
        </w:tc>
        <w:tc>
          <w:tcPr>
            <w:tcW w:w="724" w:type="dxa"/>
            <w:tcBorders>
              <w:top w:val="nil"/>
              <w:left w:val="nil"/>
              <w:bottom w:val="single" w:sz="4" w:space="0" w:color="auto"/>
              <w:right w:val="single" w:sz="4" w:space="0" w:color="auto"/>
            </w:tcBorders>
            <w:shd w:val="clear" w:color="000000" w:fill="E9E9FF"/>
            <w:vAlign w:val="center"/>
            <w:hideMark/>
          </w:tcPr>
          <w:p w:rsidR="001121C0" w:rsidRPr="00783A93" w:rsidRDefault="001121C0" w:rsidP="00965ACF">
            <w:pPr>
              <w:spacing w:after="0" w:line="240" w:lineRule="auto"/>
              <w:jc w:val="center"/>
              <w:rPr>
                <w:rFonts w:ascii="Calibri" w:eastAsia="Times New Roman" w:hAnsi="Calibri" w:cs="Calibri"/>
                <w:b/>
                <w:bCs/>
                <w:sz w:val="18"/>
                <w:szCs w:val="24"/>
                <w:lang w:eastAsia="tr-TR"/>
              </w:rPr>
            </w:pPr>
            <w:r w:rsidRPr="00783A93">
              <w:rPr>
                <w:rFonts w:ascii="Calibri" w:eastAsia="Times New Roman" w:hAnsi="Calibri" w:cs="Calibri"/>
                <w:b/>
                <w:bCs/>
                <w:sz w:val="18"/>
                <w:szCs w:val="24"/>
                <w:lang w:eastAsia="tr-TR"/>
              </w:rPr>
              <w:t>–0.1</w:t>
            </w:r>
          </w:p>
        </w:tc>
        <w:tc>
          <w:tcPr>
            <w:tcW w:w="739" w:type="dxa"/>
            <w:tcBorders>
              <w:top w:val="nil"/>
              <w:left w:val="nil"/>
              <w:bottom w:val="single" w:sz="4" w:space="0" w:color="auto"/>
              <w:right w:val="single" w:sz="4" w:space="0" w:color="auto"/>
            </w:tcBorders>
            <w:shd w:val="clear" w:color="000000" w:fill="E9E9FF"/>
            <w:vAlign w:val="center"/>
            <w:hideMark/>
          </w:tcPr>
          <w:p w:rsidR="001121C0" w:rsidRPr="00783A93" w:rsidRDefault="001121C0" w:rsidP="00965ACF">
            <w:pPr>
              <w:spacing w:after="0" w:line="240" w:lineRule="auto"/>
              <w:jc w:val="center"/>
              <w:rPr>
                <w:rFonts w:ascii="Calibri" w:eastAsia="Times New Roman" w:hAnsi="Calibri" w:cs="Calibri"/>
                <w:b/>
                <w:bCs/>
                <w:sz w:val="18"/>
                <w:szCs w:val="24"/>
                <w:lang w:eastAsia="tr-TR"/>
              </w:rPr>
            </w:pPr>
            <w:r w:rsidRPr="00783A93">
              <w:rPr>
                <w:rFonts w:ascii="Calibri" w:eastAsia="Times New Roman" w:hAnsi="Calibri" w:cs="Calibri"/>
                <w:b/>
                <w:bCs/>
                <w:sz w:val="18"/>
                <w:szCs w:val="24"/>
                <w:lang w:eastAsia="tr-TR"/>
              </w:rPr>
              <w:t>–0.1</w:t>
            </w:r>
          </w:p>
        </w:tc>
      </w:tr>
      <w:tr w:rsidR="001121C0" w:rsidRPr="00783A93" w:rsidTr="00965ACF">
        <w:trPr>
          <w:trHeight w:val="260"/>
          <w:jc w:val="center"/>
        </w:trPr>
        <w:tc>
          <w:tcPr>
            <w:tcW w:w="2870" w:type="dxa"/>
            <w:tcBorders>
              <w:top w:val="nil"/>
              <w:left w:val="single" w:sz="4" w:space="0" w:color="auto"/>
              <w:bottom w:val="single" w:sz="4" w:space="0" w:color="auto"/>
              <w:right w:val="single" w:sz="4" w:space="0" w:color="auto"/>
            </w:tcBorders>
            <w:shd w:val="clear" w:color="auto" w:fill="auto"/>
            <w:vAlign w:val="center"/>
            <w:hideMark/>
          </w:tcPr>
          <w:p w:rsidR="001121C0" w:rsidRPr="00783A93" w:rsidRDefault="001121C0" w:rsidP="00965ACF">
            <w:pPr>
              <w:spacing w:after="0" w:line="240" w:lineRule="auto"/>
              <w:rPr>
                <w:rFonts w:ascii="Calibri" w:eastAsia="Times New Roman" w:hAnsi="Calibri" w:cs="Calibri"/>
                <w:b/>
                <w:bCs/>
                <w:color w:val="C00000"/>
                <w:sz w:val="18"/>
                <w:szCs w:val="24"/>
                <w:lang w:eastAsia="tr-TR"/>
              </w:rPr>
            </w:pPr>
            <w:r w:rsidRPr="00783A93">
              <w:rPr>
                <w:rFonts w:ascii="Calibri" w:eastAsia="Times New Roman" w:hAnsi="Calibri" w:cs="Calibri"/>
                <w:b/>
                <w:bCs/>
                <w:color w:val="C00000"/>
                <w:sz w:val="18"/>
                <w:szCs w:val="24"/>
                <w:lang w:eastAsia="tr-TR"/>
              </w:rPr>
              <w:t>Gelişmiş ekonomiler</w:t>
            </w:r>
          </w:p>
        </w:tc>
        <w:tc>
          <w:tcPr>
            <w:tcW w:w="611" w:type="dxa"/>
            <w:tcBorders>
              <w:top w:val="nil"/>
              <w:left w:val="nil"/>
              <w:bottom w:val="single" w:sz="4" w:space="0" w:color="auto"/>
              <w:right w:val="single" w:sz="4" w:space="0" w:color="auto"/>
            </w:tcBorders>
            <w:shd w:val="clear" w:color="auto" w:fill="auto"/>
            <w:noWrap/>
            <w:vAlign w:val="center"/>
            <w:hideMark/>
          </w:tcPr>
          <w:p w:rsidR="001121C0" w:rsidRPr="00783A93" w:rsidRDefault="001121C0" w:rsidP="00965ACF">
            <w:pPr>
              <w:spacing w:after="0" w:line="240" w:lineRule="auto"/>
              <w:jc w:val="center"/>
              <w:rPr>
                <w:rFonts w:ascii="Calibri" w:eastAsia="Times New Roman" w:hAnsi="Calibri" w:cs="Calibri"/>
                <w:b/>
                <w:bCs/>
                <w:color w:val="000000"/>
                <w:sz w:val="18"/>
                <w:szCs w:val="24"/>
                <w:lang w:eastAsia="tr-TR"/>
              </w:rPr>
            </w:pPr>
            <w:r w:rsidRPr="00783A93">
              <w:rPr>
                <w:rFonts w:ascii="Calibri" w:eastAsia="Times New Roman" w:hAnsi="Calibri" w:cs="Calibri"/>
                <w:b/>
                <w:bCs/>
                <w:color w:val="000000"/>
                <w:sz w:val="18"/>
                <w:szCs w:val="24"/>
                <w:lang w:eastAsia="tr-TR"/>
              </w:rPr>
              <w:t>2,4</w:t>
            </w:r>
          </w:p>
        </w:tc>
        <w:tc>
          <w:tcPr>
            <w:tcW w:w="526" w:type="dxa"/>
            <w:tcBorders>
              <w:top w:val="nil"/>
              <w:left w:val="nil"/>
              <w:bottom w:val="single" w:sz="4" w:space="0" w:color="auto"/>
              <w:right w:val="single" w:sz="4" w:space="0" w:color="auto"/>
            </w:tcBorders>
            <w:shd w:val="clear" w:color="auto" w:fill="auto"/>
            <w:noWrap/>
            <w:vAlign w:val="center"/>
            <w:hideMark/>
          </w:tcPr>
          <w:p w:rsidR="001121C0" w:rsidRPr="00783A93" w:rsidRDefault="001121C0" w:rsidP="00965ACF">
            <w:pPr>
              <w:spacing w:after="0" w:line="240" w:lineRule="auto"/>
              <w:jc w:val="center"/>
              <w:rPr>
                <w:rFonts w:ascii="Calibri" w:eastAsia="Times New Roman" w:hAnsi="Calibri" w:cs="Calibri"/>
                <w:b/>
                <w:bCs/>
                <w:color w:val="000000"/>
                <w:sz w:val="18"/>
                <w:szCs w:val="24"/>
                <w:lang w:eastAsia="tr-TR"/>
              </w:rPr>
            </w:pPr>
            <w:r w:rsidRPr="00783A93">
              <w:rPr>
                <w:rFonts w:ascii="Calibri" w:eastAsia="Times New Roman" w:hAnsi="Calibri" w:cs="Calibri"/>
                <w:b/>
                <w:bCs/>
                <w:color w:val="000000"/>
                <w:sz w:val="18"/>
                <w:szCs w:val="24"/>
                <w:lang w:eastAsia="tr-TR"/>
              </w:rPr>
              <w:t>2,2</w:t>
            </w:r>
          </w:p>
        </w:tc>
        <w:tc>
          <w:tcPr>
            <w:tcW w:w="710"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b/>
                <w:bCs/>
                <w:color w:val="000000"/>
                <w:sz w:val="18"/>
                <w:szCs w:val="24"/>
                <w:lang w:eastAsia="tr-TR"/>
              </w:rPr>
            </w:pPr>
            <w:r w:rsidRPr="00783A93">
              <w:rPr>
                <w:rFonts w:ascii="Calibri" w:eastAsia="Times New Roman" w:hAnsi="Calibri" w:cs="Calibri"/>
                <w:b/>
                <w:bCs/>
                <w:color w:val="000000"/>
                <w:sz w:val="18"/>
                <w:szCs w:val="24"/>
                <w:lang w:eastAsia="tr-TR"/>
              </w:rPr>
              <w:t>1,9</w:t>
            </w:r>
          </w:p>
        </w:tc>
        <w:tc>
          <w:tcPr>
            <w:tcW w:w="696"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b/>
                <w:bCs/>
                <w:color w:val="000000"/>
                <w:sz w:val="18"/>
                <w:szCs w:val="24"/>
                <w:lang w:eastAsia="tr-TR"/>
              </w:rPr>
            </w:pPr>
            <w:r w:rsidRPr="00783A93">
              <w:rPr>
                <w:rFonts w:ascii="Calibri" w:eastAsia="Times New Roman" w:hAnsi="Calibri" w:cs="Calibri"/>
                <w:b/>
                <w:bCs/>
                <w:color w:val="000000"/>
                <w:sz w:val="18"/>
                <w:szCs w:val="24"/>
                <w:lang w:eastAsia="tr-TR"/>
              </w:rPr>
              <w:t>1,7</w:t>
            </w:r>
          </w:p>
        </w:tc>
        <w:tc>
          <w:tcPr>
            <w:tcW w:w="181" w:type="dxa"/>
            <w:vMerge/>
            <w:tcBorders>
              <w:top w:val="nil"/>
              <w:left w:val="single" w:sz="4" w:space="0" w:color="auto"/>
              <w:bottom w:val="single" w:sz="4" w:space="0" w:color="auto"/>
              <w:right w:val="single" w:sz="4" w:space="0" w:color="auto"/>
            </w:tcBorders>
            <w:vAlign w:val="center"/>
            <w:hideMark/>
          </w:tcPr>
          <w:p w:rsidR="001121C0" w:rsidRPr="00783A93" w:rsidRDefault="001121C0" w:rsidP="00965ACF">
            <w:pPr>
              <w:spacing w:after="0" w:line="240" w:lineRule="auto"/>
              <w:rPr>
                <w:rFonts w:ascii="Calibri" w:eastAsia="Times New Roman" w:hAnsi="Calibri" w:cs="Calibri"/>
                <w:color w:val="000000"/>
                <w:sz w:val="18"/>
                <w:szCs w:val="24"/>
                <w:lang w:eastAsia="tr-TR"/>
              </w:rPr>
            </w:pPr>
          </w:p>
        </w:tc>
        <w:tc>
          <w:tcPr>
            <w:tcW w:w="724"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b/>
                <w:bCs/>
                <w:color w:val="000000"/>
                <w:sz w:val="18"/>
                <w:szCs w:val="24"/>
                <w:lang w:eastAsia="tr-TR"/>
              </w:rPr>
            </w:pPr>
            <w:r w:rsidRPr="00783A93">
              <w:rPr>
                <w:rFonts w:ascii="Calibri" w:eastAsia="Times New Roman" w:hAnsi="Calibri" w:cs="Calibri"/>
                <w:b/>
                <w:bCs/>
                <w:color w:val="000000"/>
                <w:sz w:val="18"/>
                <w:szCs w:val="24"/>
                <w:lang w:eastAsia="tr-TR"/>
              </w:rPr>
              <w:t>0,1</w:t>
            </w:r>
          </w:p>
        </w:tc>
        <w:tc>
          <w:tcPr>
            <w:tcW w:w="739"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b/>
                <w:bCs/>
                <w:color w:val="000000"/>
                <w:sz w:val="18"/>
                <w:szCs w:val="24"/>
                <w:lang w:eastAsia="tr-TR"/>
              </w:rPr>
            </w:pPr>
            <w:r w:rsidRPr="00783A93">
              <w:rPr>
                <w:rFonts w:ascii="Calibri" w:eastAsia="Times New Roman" w:hAnsi="Calibri" w:cs="Calibri"/>
                <w:b/>
                <w:bCs/>
                <w:color w:val="000000"/>
                <w:sz w:val="18"/>
                <w:szCs w:val="24"/>
                <w:lang w:eastAsia="tr-TR"/>
              </w:rPr>
              <w:t>0,0</w:t>
            </w:r>
          </w:p>
        </w:tc>
      </w:tr>
      <w:tr w:rsidR="001121C0" w:rsidRPr="00783A93" w:rsidTr="00965ACF">
        <w:trPr>
          <w:trHeight w:val="260"/>
          <w:jc w:val="center"/>
        </w:trPr>
        <w:tc>
          <w:tcPr>
            <w:tcW w:w="2870" w:type="dxa"/>
            <w:tcBorders>
              <w:top w:val="nil"/>
              <w:left w:val="single" w:sz="4" w:space="0" w:color="auto"/>
              <w:bottom w:val="single" w:sz="4" w:space="0" w:color="auto"/>
              <w:right w:val="single" w:sz="4" w:space="0" w:color="auto"/>
            </w:tcBorders>
            <w:shd w:val="clear" w:color="auto" w:fill="auto"/>
            <w:vAlign w:val="center"/>
            <w:hideMark/>
          </w:tcPr>
          <w:p w:rsidR="001121C0" w:rsidRPr="00783A93" w:rsidRDefault="001121C0" w:rsidP="00965ACF">
            <w:pPr>
              <w:spacing w:after="0" w:line="240" w:lineRule="auto"/>
              <w:rPr>
                <w:rFonts w:ascii="Calibri" w:eastAsia="Times New Roman" w:hAnsi="Calibri" w:cs="Calibri"/>
                <w:sz w:val="18"/>
                <w:szCs w:val="24"/>
                <w:lang w:eastAsia="tr-TR"/>
              </w:rPr>
            </w:pPr>
            <w:r w:rsidRPr="00783A93">
              <w:rPr>
                <w:rFonts w:ascii="Calibri" w:eastAsia="Times New Roman" w:hAnsi="Calibri" w:cs="Calibri"/>
                <w:sz w:val="18"/>
                <w:szCs w:val="24"/>
                <w:lang w:eastAsia="tr-TR"/>
              </w:rPr>
              <w:t>ABD</w:t>
            </w:r>
          </w:p>
        </w:tc>
        <w:tc>
          <w:tcPr>
            <w:tcW w:w="611" w:type="dxa"/>
            <w:tcBorders>
              <w:top w:val="nil"/>
              <w:left w:val="nil"/>
              <w:bottom w:val="single" w:sz="4" w:space="0" w:color="auto"/>
              <w:right w:val="single" w:sz="4" w:space="0" w:color="auto"/>
            </w:tcBorders>
            <w:shd w:val="clear" w:color="auto" w:fill="auto"/>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2,2</w:t>
            </w:r>
          </w:p>
        </w:tc>
        <w:tc>
          <w:tcPr>
            <w:tcW w:w="526" w:type="dxa"/>
            <w:tcBorders>
              <w:top w:val="nil"/>
              <w:left w:val="nil"/>
              <w:bottom w:val="single" w:sz="4" w:space="0" w:color="auto"/>
              <w:right w:val="single" w:sz="4" w:space="0" w:color="auto"/>
            </w:tcBorders>
            <w:shd w:val="clear" w:color="auto" w:fill="auto"/>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2,9</w:t>
            </w:r>
          </w:p>
        </w:tc>
        <w:tc>
          <w:tcPr>
            <w:tcW w:w="710"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2,6</w:t>
            </w:r>
          </w:p>
        </w:tc>
        <w:tc>
          <w:tcPr>
            <w:tcW w:w="696"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1,9</w:t>
            </w:r>
          </w:p>
        </w:tc>
        <w:tc>
          <w:tcPr>
            <w:tcW w:w="181" w:type="dxa"/>
            <w:vMerge/>
            <w:tcBorders>
              <w:top w:val="nil"/>
              <w:left w:val="single" w:sz="4" w:space="0" w:color="auto"/>
              <w:bottom w:val="single" w:sz="4" w:space="0" w:color="auto"/>
              <w:right w:val="single" w:sz="4" w:space="0" w:color="auto"/>
            </w:tcBorders>
            <w:vAlign w:val="center"/>
            <w:hideMark/>
          </w:tcPr>
          <w:p w:rsidR="001121C0" w:rsidRPr="00783A93" w:rsidRDefault="001121C0" w:rsidP="00965ACF">
            <w:pPr>
              <w:spacing w:after="0" w:line="240" w:lineRule="auto"/>
              <w:rPr>
                <w:rFonts w:ascii="Calibri" w:eastAsia="Times New Roman" w:hAnsi="Calibri" w:cs="Calibri"/>
                <w:color w:val="000000"/>
                <w:sz w:val="18"/>
                <w:szCs w:val="24"/>
                <w:lang w:eastAsia="tr-TR"/>
              </w:rPr>
            </w:pPr>
          </w:p>
        </w:tc>
        <w:tc>
          <w:tcPr>
            <w:tcW w:w="724"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0,3</w:t>
            </w:r>
          </w:p>
        </w:tc>
        <w:tc>
          <w:tcPr>
            <w:tcW w:w="739"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0,0</w:t>
            </w:r>
          </w:p>
        </w:tc>
      </w:tr>
      <w:tr w:rsidR="001121C0" w:rsidRPr="00783A93" w:rsidTr="00965ACF">
        <w:trPr>
          <w:trHeight w:val="260"/>
          <w:jc w:val="center"/>
        </w:trPr>
        <w:tc>
          <w:tcPr>
            <w:tcW w:w="2870" w:type="dxa"/>
            <w:tcBorders>
              <w:top w:val="nil"/>
              <w:left w:val="single" w:sz="4" w:space="0" w:color="auto"/>
              <w:bottom w:val="single" w:sz="4" w:space="0" w:color="auto"/>
              <w:right w:val="single" w:sz="4" w:space="0" w:color="auto"/>
            </w:tcBorders>
            <w:shd w:val="clear" w:color="auto" w:fill="auto"/>
            <w:vAlign w:val="center"/>
            <w:hideMark/>
          </w:tcPr>
          <w:p w:rsidR="001121C0" w:rsidRPr="00783A93" w:rsidRDefault="001121C0" w:rsidP="00965ACF">
            <w:pPr>
              <w:spacing w:after="0" w:line="240" w:lineRule="auto"/>
              <w:rPr>
                <w:rFonts w:ascii="Calibri" w:eastAsia="Times New Roman" w:hAnsi="Calibri" w:cs="Calibri"/>
                <w:b/>
                <w:bCs/>
                <w:sz w:val="18"/>
                <w:szCs w:val="24"/>
                <w:lang w:eastAsia="tr-TR"/>
              </w:rPr>
            </w:pPr>
            <w:r w:rsidRPr="00783A93">
              <w:rPr>
                <w:rFonts w:ascii="Calibri" w:eastAsia="Times New Roman" w:hAnsi="Calibri" w:cs="Calibri"/>
                <w:b/>
                <w:bCs/>
                <w:sz w:val="18"/>
                <w:szCs w:val="24"/>
                <w:lang w:eastAsia="tr-TR"/>
              </w:rPr>
              <w:t>Euro Bölgesi</w:t>
            </w:r>
          </w:p>
        </w:tc>
        <w:tc>
          <w:tcPr>
            <w:tcW w:w="611" w:type="dxa"/>
            <w:tcBorders>
              <w:top w:val="nil"/>
              <w:left w:val="nil"/>
              <w:bottom w:val="single" w:sz="4" w:space="0" w:color="auto"/>
              <w:right w:val="single" w:sz="4" w:space="0" w:color="auto"/>
            </w:tcBorders>
            <w:shd w:val="clear" w:color="auto" w:fill="auto"/>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2,4</w:t>
            </w:r>
          </w:p>
        </w:tc>
        <w:tc>
          <w:tcPr>
            <w:tcW w:w="526" w:type="dxa"/>
            <w:tcBorders>
              <w:top w:val="nil"/>
              <w:left w:val="nil"/>
              <w:bottom w:val="single" w:sz="4" w:space="0" w:color="auto"/>
              <w:right w:val="single" w:sz="4" w:space="0" w:color="auto"/>
            </w:tcBorders>
            <w:shd w:val="clear" w:color="auto" w:fill="auto"/>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1,9</w:t>
            </w:r>
          </w:p>
        </w:tc>
        <w:tc>
          <w:tcPr>
            <w:tcW w:w="710"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1,3</w:t>
            </w:r>
          </w:p>
        </w:tc>
        <w:tc>
          <w:tcPr>
            <w:tcW w:w="696"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1,6</w:t>
            </w:r>
          </w:p>
        </w:tc>
        <w:tc>
          <w:tcPr>
            <w:tcW w:w="181" w:type="dxa"/>
            <w:vMerge/>
            <w:tcBorders>
              <w:top w:val="nil"/>
              <w:left w:val="single" w:sz="4" w:space="0" w:color="auto"/>
              <w:bottom w:val="single" w:sz="4" w:space="0" w:color="auto"/>
              <w:right w:val="single" w:sz="4" w:space="0" w:color="auto"/>
            </w:tcBorders>
            <w:vAlign w:val="center"/>
            <w:hideMark/>
          </w:tcPr>
          <w:p w:rsidR="001121C0" w:rsidRPr="00783A93" w:rsidRDefault="001121C0" w:rsidP="00965ACF">
            <w:pPr>
              <w:spacing w:after="0" w:line="240" w:lineRule="auto"/>
              <w:rPr>
                <w:rFonts w:ascii="Calibri" w:eastAsia="Times New Roman" w:hAnsi="Calibri" w:cs="Calibri"/>
                <w:color w:val="000000"/>
                <w:sz w:val="18"/>
                <w:szCs w:val="24"/>
                <w:lang w:eastAsia="tr-TR"/>
              </w:rPr>
            </w:pPr>
          </w:p>
        </w:tc>
        <w:tc>
          <w:tcPr>
            <w:tcW w:w="724"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0,0</w:t>
            </w:r>
          </w:p>
        </w:tc>
        <w:tc>
          <w:tcPr>
            <w:tcW w:w="739"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0,1</w:t>
            </w:r>
          </w:p>
        </w:tc>
      </w:tr>
      <w:tr w:rsidR="001121C0" w:rsidRPr="00783A93" w:rsidTr="00965ACF">
        <w:trPr>
          <w:trHeight w:val="260"/>
          <w:jc w:val="center"/>
        </w:trPr>
        <w:tc>
          <w:tcPr>
            <w:tcW w:w="2870" w:type="dxa"/>
            <w:tcBorders>
              <w:top w:val="nil"/>
              <w:left w:val="single" w:sz="4" w:space="0" w:color="auto"/>
              <w:bottom w:val="single" w:sz="4" w:space="0" w:color="auto"/>
              <w:right w:val="single" w:sz="4" w:space="0" w:color="auto"/>
            </w:tcBorders>
            <w:shd w:val="clear" w:color="auto" w:fill="auto"/>
            <w:vAlign w:val="center"/>
            <w:hideMark/>
          </w:tcPr>
          <w:p w:rsidR="001121C0" w:rsidRPr="00783A93" w:rsidRDefault="001121C0" w:rsidP="00965ACF">
            <w:pPr>
              <w:spacing w:after="0" w:line="240" w:lineRule="auto"/>
              <w:rPr>
                <w:rFonts w:ascii="Calibri" w:eastAsia="Times New Roman" w:hAnsi="Calibri" w:cs="Calibri"/>
                <w:sz w:val="18"/>
                <w:szCs w:val="24"/>
                <w:lang w:eastAsia="tr-TR"/>
              </w:rPr>
            </w:pPr>
            <w:r w:rsidRPr="00783A93">
              <w:rPr>
                <w:rFonts w:ascii="Calibri" w:eastAsia="Times New Roman" w:hAnsi="Calibri" w:cs="Calibri"/>
                <w:sz w:val="18"/>
                <w:szCs w:val="24"/>
                <w:lang w:eastAsia="tr-TR"/>
              </w:rPr>
              <w:t>Almanya</w:t>
            </w:r>
          </w:p>
        </w:tc>
        <w:tc>
          <w:tcPr>
            <w:tcW w:w="611" w:type="dxa"/>
            <w:tcBorders>
              <w:top w:val="nil"/>
              <w:left w:val="nil"/>
              <w:bottom w:val="single" w:sz="4" w:space="0" w:color="auto"/>
              <w:right w:val="single" w:sz="4" w:space="0" w:color="auto"/>
            </w:tcBorders>
            <w:shd w:val="clear" w:color="auto" w:fill="auto"/>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2,2</w:t>
            </w:r>
          </w:p>
        </w:tc>
        <w:tc>
          <w:tcPr>
            <w:tcW w:w="526" w:type="dxa"/>
            <w:tcBorders>
              <w:top w:val="nil"/>
              <w:left w:val="nil"/>
              <w:bottom w:val="single" w:sz="4" w:space="0" w:color="auto"/>
              <w:right w:val="single" w:sz="4" w:space="0" w:color="auto"/>
            </w:tcBorders>
            <w:shd w:val="clear" w:color="auto" w:fill="auto"/>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1,4</w:t>
            </w:r>
          </w:p>
        </w:tc>
        <w:tc>
          <w:tcPr>
            <w:tcW w:w="710"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0,7</w:t>
            </w:r>
          </w:p>
        </w:tc>
        <w:tc>
          <w:tcPr>
            <w:tcW w:w="696"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1,7</w:t>
            </w:r>
          </w:p>
        </w:tc>
        <w:tc>
          <w:tcPr>
            <w:tcW w:w="181" w:type="dxa"/>
            <w:vMerge/>
            <w:tcBorders>
              <w:top w:val="nil"/>
              <w:left w:val="single" w:sz="4" w:space="0" w:color="auto"/>
              <w:bottom w:val="single" w:sz="4" w:space="0" w:color="auto"/>
              <w:right w:val="single" w:sz="4" w:space="0" w:color="auto"/>
            </w:tcBorders>
            <w:vAlign w:val="center"/>
            <w:hideMark/>
          </w:tcPr>
          <w:p w:rsidR="001121C0" w:rsidRPr="00783A93" w:rsidRDefault="001121C0" w:rsidP="00965ACF">
            <w:pPr>
              <w:spacing w:after="0" w:line="240" w:lineRule="auto"/>
              <w:rPr>
                <w:rFonts w:ascii="Calibri" w:eastAsia="Times New Roman" w:hAnsi="Calibri" w:cs="Calibri"/>
                <w:color w:val="000000"/>
                <w:sz w:val="18"/>
                <w:szCs w:val="24"/>
                <w:lang w:eastAsia="tr-TR"/>
              </w:rPr>
            </w:pPr>
          </w:p>
        </w:tc>
        <w:tc>
          <w:tcPr>
            <w:tcW w:w="724" w:type="dxa"/>
            <w:tcBorders>
              <w:top w:val="nil"/>
              <w:left w:val="nil"/>
              <w:bottom w:val="single" w:sz="4" w:space="0" w:color="auto"/>
              <w:right w:val="single" w:sz="4" w:space="0" w:color="auto"/>
            </w:tcBorders>
            <w:shd w:val="clear" w:color="000000" w:fill="E9E9FF"/>
            <w:vAlign w:val="center"/>
            <w:hideMark/>
          </w:tcPr>
          <w:p w:rsidR="001121C0" w:rsidRPr="00783A93" w:rsidRDefault="001121C0" w:rsidP="00965ACF">
            <w:pPr>
              <w:spacing w:after="0" w:line="240" w:lineRule="auto"/>
              <w:jc w:val="center"/>
              <w:rPr>
                <w:rFonts w:ascii="Calibri" w:eastAsia="Times New Roman" w:hAnsi="Calibri" w:cs="Calibri"/>
                <w:sz w:val="18"/>
                <w:szCs w:val="24"/>
                <w:lang w:eastAsia="tr-TR"/>
              </w:rPr>
            </w:pPr>
            <w:r w:rsidRPr="00783A93">
              <w:rPr>
                <w:rFonts w:ascii="Calibri" w:eastAsia="Times New Roman" w:hAnsi="Calibri" w:cs="Calibri"/>
                <w:sz w:val="18"/>
                <w:szCs w:val="24"/>
                <w:lang w:eastAsia="tr-TR"/>
              </w:rPr>
              <w:t>–0.1</w:t>
            </w:r>
          </w:p>
        </w:tc>
        <w:tc>
          <w:tcPr>
            <w:tcW w:w="739"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0,3</w:t>
            </w:r>
          </w:p>
        </w:tc>
      </w:tr>
      <w:tr w:rsidR="001121C0" w:rsidRPr="00783A93" w:rsidTr="00965ACF">
        <w:trPr>
          <w:trHeight w:val="260"/>
          <w:jc w:val="center"/>
        </w:trPr>
        <w:tc>
          <w:tcPr>
            <w:tcW w:w="2870" w:type="dxa"/>
            <w:tcBorders>
              <w:top w:val="nil"/>
              <w:left w:val="single" w:sz="4" w:space="0" w:color="auto"/>
              <w:bottom w:val="single" w:sz="4" w:space="0" w:color="auto"/>
              <w:right w:val="single" w:sz="4" w:space="0" w:color="auto"/>
            </w:tcBorders>
            <w:shd w:val="clear" w:color="auto" w:fill="auto"/>
            <w:vAlign w:val="center"/>
            <w:hideMark/>
          </w:tcPr>
          <w:p w:rsidR="001121C0" w:rsidRPr="00783A93" w:rsidRDefault="001121C0" w:rsidP="00965ACF">
            <w:pPr>
              <w:spacing w:after="0" w:line="240" w:lineRule="auto"/>
              <w:rPr>
                <w:rFonts w:ascii="Calibri" w:eastAsia="Times New Roman" w:hAnsi="Calibri" w:cs="Calibri"/>
                <w:sz w:val="18"/>
                <w:szCs w:val="24"/>
                <w:lang w:eastAsia="tr-TR"/>
              </w:rPr>
            </w:pPr>
            <w:r w:rsidRPr="00783A93">
              <w:rPr>
                <w:rFonts w:ascii="Calibri" w:eastAsia="Times New Roman" w:hAnsi="Calibri" w:cs="Calibri"/>
                <w:sz w:val="18"/>
                <w:szCs w:val="24"/>
                <w:lang w:eastAsia="tr-TR"/>
              </w:rPr>
              <w:t>Fransa</w:t>
            </w:r>
          </w:p>
        </w:tc>
        <w:tc>
          <w:tcPr>
            <w:tcW w:w="611" w:type="dxa"/>
            <w:tcBorders>
              <w:top w:val="nil"/>
              <w:left w:val="nil"/>
              <w:bottom w:val="single" w:sz="4" w:space="0" w:color="auto"/>
              <w:right w:val="single" w:sz="4" w:space="0" w:color="auto"/>
            </w:tcBorders>
            <w:shd w:val="clear" w:color="auto" w:fill="auto"/>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2,3</w:t>
            </w:r>
          </w:p>
        </w:tc>
        <w:tc>
          <w:tcPr>
            <w:tcW w:w="526" w:type="dxa"/>
            <w:tcBorders>
              <w:top w:val="nil"/>
              <w:left w:val="nil"/>
              <w:bottom w:val="single" w:sz="4" w:space="0" w:color="auto"/>
              <w:right w:val="single" w:sz="4" w:space="0" w:color="auto"/>
            </w:tcBorders>
            <w:shd w:val="clear" w:color="auto" w:fill="auto"/>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1,7</w:t>
            </w:r>
          </w:p>
        </w:tc>
        <w:tc>
          <w:tcPr>
            <w:tcW w:w="710"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1,3</w:t>
            </w:r>
          </w:p>
        </w:tc>
        <w:tc>
          <w:tcPr>
            <w:tcW w:w="696"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1,4</w:t>
            </w:r>
          </w:p>
        </w:tc>
        <w:tc>
          <w:tcPr>
            <w:tcW w:w="181" w:type="dxa"/>
            <w:vMerge/>
            <w:tcBorders>
              <w:top w:val="nil"/>
              <w:left w:val="single" w:sz="4" w:space="0" w:color="auto"/>
              <w:bottom w:val="single" w:sz="4" w:space="0" w:color="auto"/>
              <w:right w:val="single" w:sz="4" w:space="0" w:color="auto"/>
            </w:tcBorders>
            <w:vAlign w:val="center"/>
            <w:hideMark/>
          </w:tcPr>
          <w:p w:rsidR="001121C0" w:rsidRPr="00783A93" w:rsidRDefault="001121C0" w:rsidP="00965ACF">
            <w:pPr>
              <w:spacing w:after="0" w:line="240" w:lineRule="auto"/>
              <w:rPr>
                <w:rFonts w:ascii="Calibri" w:eastAsia="Times New Roman" w:hAnsi="Calibri" w:cs="Calibri"/>
                <w:color w:val="000000"/>
                <w:sz w:val="18"/>
                <w:szCs w:val="24"/>
                <w:lang w:eastAsia="tr-TR"/>
              </w:rPr>
            </w:pPr>
          </w:p>
        </w:tc>
        <w:tc>
          <w:tcPr>
            <w:tcW w:w="724"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0,0</w:t>
            </w:r>
          </w:p>
        </w:tc>
        <w:tc>
          <w:tcPr>
            <w:tcW w:w="739"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0,0</w:t>
            </w:r>
          </w:p>
        </w:tc>
      </w:tr>
      <w:tr w:rsidR="001121C0" w:rsidRPr="00783A93" w:rsidTr="00965ACF">
        <w:trPr>
          <w:trHeight w:val="260"/>
          <w:jc w:val="center"/>
        </w:trPr>
        <w:tc>
          <w:tcPr>
            <w:tcW w:w="2870" w:type="dxa"/>
            <w:tcBorders>
              <w:top w:val="nil"/>
              <w:left w:val="single" w:sz="4" w:space="0" w:color="auto"/>
              <w:bottom w:val="single" w:sz="4" w:space="0" w:color="auto"/>
              <w:right w:val="single" w:sz="4" w:space="0" w:color="auto"/>
            </w:tcBorders>
            <w:shd w:val="clear" w:color="auto" w:fill="auto"/>
            <w:vAlign w:val="center"/>
            <w:hideMark/>
          </w:tcPr>
          <w:p w:rsidR="001121C0" w:rsidRPr="00783A93" w:rsidRDefault="001121C0" w:rsidP="00965ACF">
            <w:pPr>
              <w:spacing w:after="0" w:line="240" w:lineRule="auto"/>
              <w:rPr>
                <w:rFonts w:ascii="Calibri" w:eastAsia="Times New Roman" w:hAnsi="Calibri" w:cs="Calibri"/>
                <w:sz w:val="18"/>
                <w:szCs w:val="24"/>
                <w:lang w:eastAsia="tr-TR"/>
              </w:rPr>
            </w:pPr>
            <w:r w:rsidRPr="00783A93">
              <w:rPr>
                <w:rFonts w:ascii="Calibri" w:eastAsia="Times New Roman" w:hAnsi="Calibri" w:cs="Calibri"/>
                <w:sz w:val="18"/>
                <w:szCs w:val="24"/>
                <w:lang w:eastAsia="tr-TR"/>
              </w:rPr>
              <w:t>İtalya</w:t>
            </w:r>
          </w:p>
        </w:tc>
        <w:tc>
          <w:tcPr>
            <w:tcW w:w="611" w:type="dxa"/>
            <w:tcBorders>
              <w:top w:val="nil"/>
              <w:left w:val="nil"/>
              <w:bottom w:val="single" w:sz="4" w:space="0" w:color="auto"/>
              <w:right w:val="single" w:sz="4" w:space="0" w:color="auto"/>
            </w:tcBorders>
            <w:shd w:val="clear" w:color="auto" w:fill="auto"/>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1,7</w:t>
            </w:r>
          </w:p>
        </w:tc>
        <w:tc>
          <w:tcPr>
            <w:tcW w:w="526" w:type="dxa"/>
            <w:tcBorders>
              <w:top w:val="nil"/>
              <w:left w:val="nil"/>
              <w:bottom w:val="single" w:sz="4" w:space="0" w:color="auto"/>
              <w:right w:val="single" w:sz="4" w:space="0" w:color="auto"/>
            </w:tcBorders>
            <w:shd w:val="clear" w:color="auto" w:fill="auto"/>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0,9</w:t>
            </w:r>
          </w:p>
        </w:tc>
        <w:tc>
          <w:tcPr>
            <w:tcW w:w="710"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0,1</w:t>
            </w:r>
          </w:p>
        </w:tc>
        <w:tc>
          <w:tcPr>
            <w:tcW w:w="696"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0,8</w:t>
            </w:r>
          </w:p>
        </w:tc>
        <w:tc>
          <w:tcPr>
            <w:tcW w:w="181" w:type="dxa"/>
            <w:vMerge/>
            <w:tcBorders>
              <w:top w:val="nil"/>
              <w:left w:val="single" w:sz="4" w:space="0" w:color="auto"/>
              <w:bottom w:val="single" w:sz="4" w:space="0" w:color="auto"/>
              <w:right w:val="single" w:sz="4" w:space="0" w:color="auto"/>
            </w:tcBorders>
            <w:vAlign w:val="center"/>
            <w:hideMark/>
          </w:tcPr>
          <w:p w:rsidR="001121C0" w:rsidRPr="00783A93" w:rsidRDefault="001121C0" w:rsidP="00965ACF">
            <w:pPr>
              <w:spacing w:after="0" w:line="240" w:lineRule="auto"/>
              <w:rPr>
                <w:rFonts w:ascii="Calibri" w:eastAsia="Times New Roman" w:hAnsi="Calibri" w:cs="Calibri"/>
                <w:color w:val="000000"/>
                <w:sz w:val="18"/>
                <w:szCs w:val="24"/>
                <w:lang w:eastAsia="tr-TR"/>
              </w:rPr>
            </w:pPr>
          </w:p>
        </w:tc>
        <w:tc>
          <w:tcPr>
            <w:tcW w:w="724"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0,0</w:t>
            </w:r>
          </w:p>
        </w:tc>
        <w:tc>
          <w:tcPr>
            <w:tcW w:w="739" w:type="dxa"/>
            <w:tcBorders>
              <w:top w:val="nil"/>
              <w:left w:val="nil"/>
              <w:bottom w:val="single" w:sz="4" w:space="0" w:color="auto"/>
              <w:right w:val="single" w:sz="4" w:space="0" w:color="auto"/>
            </w:tcBorders>
            <w:shd w:val="clear" w:color="000000" w:fill="E9E9FF"/>
            <w:vAlign w:val="center"/>
            <w:hideMark/>
          </w:tcPr>
          <w:p w:rsidR="001121C0" w:rsidRPr="00783A93" w:rsidRDefault="001121C0" w:rsidP="00965ACF">
            <w:pPr>
              <w:spacing w:after="0" w:line="240" w:lineRule="auto"/>
              <w:jc w:val="center"/>
              <w:rPr>
                <w:rFonts w:ascii="Calibri" w:eastAsia="Times New Roman" w:hAnsi="Calibri" w:cs="Calibri"/>
                <w:sz w:val="18"/>
                <w:szCs w:val="24"/>
                <w:lang w:eastAsia="tr-TR"/>
              </w:rPr>
            </w:pPr>
            <w:r w:rsidRPr="00783A93">
              <w:rPr>
                <w:rFonts w:ascii="Calibri" w:eastAsia="Times New Roman" w:hAnsi="Calibri" w:cs="Calibri"/>
                <w:sz w:val="18"/>
                <w:szCs w:val="24"/>
                <w:lang w:eastAsia="tr-TR"/>
              </w:rPr>
              <w:t>–0.1</w:t>
            </w:r>
          </w:p>
        </w:tc>
      </w:tr>
      <w:tr w:rsidR="001121C0" w:rsidRPr="00783A93" w:rsidTr="00965ACF">
        <w:trPr>
          <w:trHeight w:val="260"/>
          <w:jc w:val="center"/>
        </w:trPr>
        <w:tc>
          <w:tcPr>
            <w:tcW w:w="2870" w:type="dxa"/>
            <w:tcBorders>
              <w:top w:val="nil"/>
              <w:left w:val="single" w:sz="4" w:space="0" w:color="auto"/>
              <w:bottom w:val="single" w:sz="4" w:space="0" w:color="auto"/>
              <w:right w:val="single" w:sz="4" w:space="0" w:color="auto"/>
            </w:tcBorders>
            <w:shd w:val="clear" w:color="auto" w:fill="auto"/>
            <w:vAlign w:val="center"/>
            <w:hideMark/>
          </w:tcPr>
          <w:p w:rsidR="001121C0" w:rsidRPr="00783A93" w:rsidRDefault="001121C0" w:rsidP="00965ACF">
            <w:pPr>
              <w:spacing w:after="0" w:line="240" w:lineRule="auto"/>
              <w:rPr>
                <w:rFonts w:ascii="Calibri" w:eastAsia="Times New Roman" w:hAnsi="Calibri" w:cs="Calibri"/>
                <w:sz w:val="18"/>
                <w:szCs w:val="24"/>
                <w:lang w:eastAsia="tr-TR"/>
              </w:rPr>
            </w:pPr>
            <w:r w:rsidRPr="00783A93">
              <w:rPr>
                <w:rFonts w:ascii="Calibri" w:eastAsia="Times New Roman" w:hAnsi="Calibri" w:cs="Calibri"/>
                <w:sz w:val="18"/>
                <w:szCs w:val="24"/>
                <w:lang w:eastAsia="tr-TR"/>
              </w:rPr>
              <w:t>İspanya</w:t>
            </w:r>
          </w:p>
        </w:tc>
        <w:tc>
          <w:tcPr>
            <w:tcW w:w="611" w:type="dxa"/>
            <w:tcBorders>
              <w:top w:val="nil"/>
              <w:left w:val="nil"/>
              <w:bottom w:val="single" w:sz="4" w:space="0" w:color="auto"/>
              <w:right w:val="single" w:sz="4" w:space="0" w:color="auto"/>
            </w:tcBorders>
            <w:shd w:val="clear" w:color="auto" w:fill="auto"/>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3,0</w:t>
            </w:r>
          </w:p>
        </w:tc>
        <w:tc>
          <w:tcPr>
            <w:tcW w:w="526" w:type="dxa"/>
            <w:tcBorders>
              <w:top w:val="nil"/>
              <w:left w:val="nil"/>
              <w:bottom w:val="single" w:sz="4" w:space="0" w:color="auto"/>
              <w:right w:val="single" w:sz="4" w:space="0" w:color="auto"/>
            </w:tcBorders>
            <w:shd w:val="clear" w:color="auto" w:fill="auto"/>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2,6</w:t>
            </w:r>
          </w:p>
        </w:tc>
        <w:tc>
          <w:tcPr>
            <w:tcW w:w="710"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2,3</w:t>
            </w:r>
          </w:p>
        </w:tc>
        <w:tc>
          <w:tcPr>
            <w:tcW w:w="696"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1,9</w:t>
            </w:r>
          </w:p>
        </w:tc>
        <w:tc>
          <w:tcPr>
            <w:tcW w:w="181" w:type="dxa"/>
            <w:vMerge/>
            <w:tcBorders>
              <w:top w:val="nil"/>
              <w:left w:val="single" w:sz="4" w:space="0" w:color="auto"/>
              <w:bottom w:val="single" w:sz="4" w:space="0" w:color="auto"/>
              <w:right w:val="single" w:sz="4" w:space="0" w:color="auto"/>
            </w:tcBorders>
            <w:vAlign w:val="center"/>
            <w:hideMark/>
          </w:tcPr>
          <w:p w:rsidR="001121C0" w:rsidRPr="00783A93" w:rsidRDefault="001121C0" w:rsidP="00965ACF">
            <w:pPr>
              <w:spacing w:after="0" w:line="240" w:lineRule="auto"/>
              <w:rPr>
                <w:rFonts w:ascii="Calibri" w:eastAsia="Times New Roman" w:hAnsi="Calibri" w:cs="Calibri"/>
                <w:color w:val="000000"/>
                <w:sz w:val="18"/>
                <w:szCs w:val="24"/>
                <w:lang w:eastAsia="tr-TR"/>
              </w:rPr>
            </w:pPr>
          </w:p>
        </w:tc>
        <w:tc>
          <w:tcPr>
            <w:tcW w:w="724"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0,2</w:t>
            </w:r>
          </w:p>
        </w:tc>
        <w:tc>
          <w:tcPr>
            <w:tcW w:w="739"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0,0</w:t>
            </w:r>
          </w:p>
        </w:tc>
      </w:tr>
      <w:tr w:rsidR="001121C0" w:rsidRPr="00783A93" w:rsidTr="00965ACF">
        <w:trPr>
          <w:trHeight w:val="260"/>
          <w:jc w:val="center"/>
        </w:trPr>
        <w:tc>
          <w:tcPr>
            <w:tcW w:w="2870" w:type="dxa"/>
            <w:tcBorders>
              <w:top w:val="nil"/>
              <w:left w:val="single" w:sz="4" w:space="0" w:color="auto"/>
              <w:bottom w:val="single" w:sz="4" w:space="0" w:color="auto"/>
              <w:right w:val="single" w:sz="4" w:space="0" w:color="auto"/>
            </w:tcBorders>
            <w:shd w:val="clear" w:color="auto" w:fill="auto"/>
            <w:vAlign w:val="center"/>
            <w:hideMark/>
          </w:tcPr>
          <w:p w:rsidR="001121C0" w:rsidRPr="00783A93" w:rsidRDefault="001121C0" w:rsidP="00965ACF">
            <w:pPr>
              <w:spacing w:after="0" w:line="240" w:lineRule="auto"/>
              <w:rPr>
                <w:rFonts w:ascii="Calibri" w:eastAsia="Times New Roman" w:hAnsi="Calibri" w:cs="Calibri"/>
                <w:sz w:val="18"/>
                <w:szCs w:val="24"/>
                <w:lang w:eastAsia="tr-TR"/>
              </w:rPr>
            </w:pPr>
            <w:r w:rsidRPr="00783A93">
              <w:rPr>
                <w:rFonts w:ascii="Calibri" w:eastAsia="Times New Roman" w:hAnsi="Calibri" w:cs="Calibri"/>
                <w:sz w:val="18"/>
                <w:szCs w:val="24"/>
                <w:lang w:eastAsia="tr-TR"/>
              </w:rPr>
              <w:t>Japonya</w:t>
            </w:r>
          </w:p>
        </w:tc>
        <w:tc>
          <w:tcPr>
            <w:tcW w:w="611" w:type="dxa"/>
            <w:tcBorders>
              <w:top w:val="nil"/>
              <w:left w:val="nil"/>
              <w:bottom w:val="single" w:sz="4" w:space="0" w:color="auto"/>
              <w:right w:val="single" w:sz="4" w:space="0" w:color="auto"/>
            </w:tcBorders>
            <w:shd w:val="clear" w:color="auto" w:fill="auto"/>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1,9</w:t>
            </w:r>
          </w:p>
        </w:tc>
        <w:tc>
          <w:tcPr>
            <w:tcW w:w="526" w:type="dxa"/>
            <w:tcBorders>
              <w:top w:val="nil"/>
              <w:left w:val="nil"/>
              <w:bottom w:val="single" w:sz="4" w:space="0" w:color="auto"/>
              <w:right w:val="single" w:sz="4" w:space="0" w:color="auto"/>
            </w:tcBorders>
            <w:shd w:val="clear" w:color="auto" w:fill="auto"/>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0,8</w:t>
            </w:r>
          </w:p>
        </w:tc>
        <w:tc>
          <w:tcPr>
            <w:tcW w:w="710"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0,9</w:t>
            </w:r>
          </w:p>
        </w:tc>
        <w:tc>
          <w:tcPr>
            <w:tcW w:w="696"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0,4</w:t>
            </w:r>
          </w:p>
        </w:tc>
        <w:tc>
          <w:tcPr>
            <w:tcW w:w="181" w:type="dxa"/>
            <w:vMerge/>
            <w:tcBorders>
              <w:top w:val="nil"/>
              <w:left w:val="single" w:sz="4" w:space="0" w:color="auto"/>
              <w:bottom w:val="single" w:sz="4" w:space="0" w:color="auto"/>
              <w:right w:val="single" w:sz="4" w:space="0" w:color="auto"/>
            </w:tcBorders>
            <w:vAlign w:val="center"/>
            <w:hideMark/>
          </w:tcPr>
          <w:p w:rsidR="001121C0" w:rsidRPr="00783A93" w:rsidRDefault="001121C0" w:rsidP="00965ACF">
            <w:pPr>
              <w:spacing w:after="0" w:line="240" w:lineRule="auto"/>
              <w:rPr>
                <w:rFonts w:ascii="Calibri" w:eastAsia="Times New Roman" w:hAnsi="Calibri" w:cs="Calibri"/>
                <w:color w:val="000000"/>
                <w:sz w:val="18"/>
                <w:szCs w:val="24"/>
                <w:lang w:eastAsia="tr-TR"/>
              </w:rPr>
            </w:pPr>
          </w:p>
        </w:tc>
        <w:tc>
          <w:tcPr>
            <w:tcW w:w="724" w:type="dxa"/>
            <w:tcBorders>
              <w:top w:val="nil"/>
              <w:left w:val="nil"/>
              <w:bottom w:val="single" w:sz="4" w:space="0" w:color="auto"/>
              <w:right w:val="single" w:sz="4" w:space="0" w:color="auto"/>
            </w:tcBorders>
            <w:shd w:val="clear" w:color="000000" w:fill="E9E9FF"/>
            <w:vAlign w:val="center"/>
            <w:hideMark/>
          </w:tcPr>
          <w:p w:rsidR="001121C0" w:rsidRPr="00783A93" w:rsidRDefault="001121C0" w:rsidP="00965ACF">
            <w:pPr>
              <w:spacing w:after="0" w:line="240" w:lineRule="auto"/>
              <w:jc w:val="center"/>
              <w:rPr>
                <w:rFonts w:ascii="Calibri" w:eastAsia="Times New Roman" w:hAnsi="Calibri" w:cs="Calibri"/>
                <w:sz w:val="18"/>
                <w:szCs w:val="24"/>
                <w:lang w:eastAsia="tr-TR"/>
              </w:rPr>
            </w:pPr>
            <w:r w:rsidRPr="00783A93">
              <w:rPr>
                <w:rFonts w:ascii="Calibri" w:eastAsia="Times New Roman" w:hAnsi="Calibri" w:cs="Calibri"/>
                <w:sz w:val="18"/>
                <w:szCs w:val="24"/>
                <w:lang w:eastAsia="tr-TR"/>
              </w:rPr>
              <w:t>–0.1</w:t>
            </w:r>
          </w:p>
        </w:tc>
        <w:tc>
          <w:tcPr>
            <w:tcW w:w="739" w:type="dxa"/>
            <w:tcBorders>
              <w:top w:val="nil"/>
              <w:left w:val="nil"/>
              <w:bottom w:val="single" w:sz="4" w:space="0" w:color="auto"/>
              <w:right w:val="single" w:sz="4" w:space="0" w:color="auto"/>
            </w:tcBorders>
            <w:shd w:val="clear" w:color="000000" w:fill="E9E9FF"/>
            <w:vAlign w:val="center"/>
            <w:hideMark/>
          </w:tcPr>
          <w:p w:rsidR="001121C0" w:rsidRPr="00783A93" w:rsidRDefault="001121C0" w:rsidP="00965ACF">
            <w:pPr>
              <w:spacing w:after="0" w:line="240" w:lineRule="auto"/>
              <w:jc w:val="center"/>
              <w:rPr>
                <w:rFonts w:ascii="Calibri" w:eastAsia="Times New Roman" w:hAnsi="Calibri" w:cs="Calibri"/>
                <w:sz w:val="18"/>
                <w:szCs w:val="24"/>
                <w:lang w:eastAsia="tr-TR"/>
              </w:rPr>
            </w:pPr>
            <w:r w:rsidRPr="00783A93">
              <w:rPr>
                <w:rFonts w:ascii="Calibri" w:eastAsia="Times New Roman" w:hAnsi="Calibri" w:cs="Calibri"/>
                <w:sz w:val="18"/>
                <w:szCs w:val="24"/>
                <w:lang w:eastAsia="tr-TR"/>
              </w:rPr>
              <w:t>–0.1</w:t>
            </w:r>
          </w:p>
        </w:tc>
      </w:tr>
      <w:tr w:rsidR="001121C0" w:rsidRPr="00783A93" w:rsidTr="00965ACF">
        <w:trPr>
          <w:trHeight w:val="260"/>
          <w:jc w:val="center"/>
        </w:trPr>
        <w:tc>
          <w:tcPr>
            <w:tcW w:w="2870" w:type="dxa"/>
            <w:tcBorders>
              <w:top w:val="nil"/>
              <w:left w:val="single" w:sz="4" w:space="0" w:color="auto"/>
              <w:bottom w:val="single" w:sz="4" w:space="0" w:color="auto"/>
              <w:right w:val="single" w:sz="4" w:space="0" w:color="auto"/>
            </w:tcBorders>
            <w:shd w:val="clear" w:color="auto" w:fill="auto"/>
            <w:vAlign w:val="center"/>
            <w:hideMark/>
          </w:tcPr>
          <w:p w:rsidR="001121C0" w:rsidRPr="00783A93" w:rsidRDefault="001121C0" w:rsidP="00965ACF">
            <w:pPr>
              <w:spacing w:after="0" w:line="240" w:lineRule="auto"/>
              <w:rPr>
                <w:rFonts w:ascii="Calibri" w:eastAsia="Times New Roman" w:hAnsi="Calibri" w:cs="Calibri"/>
                <w:sz w:val="18"/>
                <w:szCs w:val="24"/>
                <w:lang w:eastAsia="tr-TR"/>
              </w:rPr>
            </w:pPr>
            <w:r w:rsidRPr="00783A93">
              <w:rPr>
                <w:rFonts w:ascii="Calibri" w:eastAsia="Times New Roman" w:hAnsi="Calibri" w:cs="Calibri"/>
                <w:sz w:val="18"/>
                <w:szCs w:val="24"/>
                <w:lang w:eastAsia="tr-TR"/>
              </w:rPr>
              <w:t>İngiltere</w:t>
            </w:r>
          </w:p>
        </w:tc>
        <w:tc>
          <w:tcPr>
            <w:tcW w:w="611" w:type="dxa"/>
            <w:tcBorders>
              <w:top w:val="nil"/>
              <w:left w:val="nil"/>
              <w:bottom w:val="single" w:sz="4" w:space="0" w:color="auto"/>
              <w:right w:val="single" w:sz="4" w:space="0" w:color="auto"/>
            </w:tcBorders>
            <w:shd w:val="clear" w:color="auto" w:fill="auto"/>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1,8</w:t>
            </w:r>
          </w:p>
        </w:tc>
        <w:tc>
          <w:tcPr>
            <w:tcW w:w="526" w:type="dxa"/>
            <w:tcBorders>
              <w:top w:val="nil"/>
              <w:left w:val="nil"/>
              <w:bottom w:val="single" w:sz="4" w:space="0" w:color="auto"/>
              <w:right w:val="single" w:sz="4" w:space="0" w:color="auto"/>
            </w:tcBorders>
            <w:shd w:val="clear" w:color="auto" w:fill="auto"/>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1,4</w:t>
            </w:r>
          </w:p>
        </w:tc>
        <w:tc>
          <w:tcPr>
            <w:tcW w:w="710"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1,3</w:t>
            </w:r>
          </w:p>
        </w:tc>
        <w:tc>
          <w:tcPr>
            <w:tcW w:w="696"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1,4</w:t>
            </w:r>
          </w:p>
        </w:tc>
        <w:tc>
          <w:tcPr>
            <w:tcW w:w="181" w:type="dxa"/>
            <w:vMerge/>
            <w:tcBorders>
              <w:top w:val="nil"/>
              <w:left w:val="single" w:sz="4" w:space="0" w:color="auto"/>
              <w:bottom w:val="single" w:sz="4" w:space="0" w:color="auto"/>
              <w:right w:val="single" w:sz="4" w:space="0" w:color="auto"/>
            </w:tcBorders>
            <w:vAlign w:val="center"/>
            <w:hideMark/>
          </w:tcPr>
          <w:p w:rsidR="001121C0" w:rsidRPr="00783A93" w:rsidRDefault="001121C0" w:rsidP="00965ACF">
            <w:pPr>
              <w:spacing w:after="0" w:line="240" w:lineRule="auto"/>
              <w:rPr>
                <w:rFonts w:ascii="Calibri" w:eastAsia="Times New Roman" w:hAnsi="Calibri" w:cs="Calibri"/>
                <w:color w:val="000000"/>
                <w:sz w:val="18"/>
                <w:szCs w:val="24"/>
                <w:lang w:eastAsia="tr-TR"/>
              </w:rPr>
            </w:pPr>
          </w:p>
        </w:tc>
        <w:tc>
          <w:tcPr>
            <w:tcW w:w="724"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0,1</w:t>
            </w:r>
          </w:p>
        </w:tc>
        <w:tc>
          <w:tcPr>
            <w:tcW w:w="739"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0,0</w:t>
            </w:r>
          </w:p>
        </w:tc>
      </w:tr>
      <w:tr w:rsidR="001121C0" w:rsidRPr="00783A93" w:rsidTr="00965ACF">
        <w:trPr>
          <w:trHeight w:val="260"/>
          <w:jc w:val="center"/>
        </w:trPr>
        <w:tc>
          <w:tcPr>
            <w:tcW w:w="2870" w:type="dxa"/>
            <w:tcBorders>
              <w:top w:val="nil"/>
              <w:left w:val="single" w:sz="4" w:space="0" w:color="auto"/>
              <w:bottom w:val="single" w:sz="4" w:space="0" w:color="auto"/>
              <w:right w:val="single" w:sz="4" w:space="0" w:color="auto"/>
            </w:tcBorders>
            <w:shd w:val="clear" w:color="auto" w:fill="auto"/>
            <w:vAlign w:val="center"/>
            <w:hideMark/>
          </w:tcPr>
          <w:p w:rsidR="001121C0" w:rsidRPr="00783A93" w:rsidRDefault="001121C0" w:rsidP="00965ACF">
            <w:pPr>
              <w:spacing w:after="0" w:line="240" w:lineRule="auto"/>
              <w:rPr>
                <w:rFonts w:ascii="Calibri" w:eastAsia="Times New Roman" w:hAnsi="Calibri" w:cs="Calibri"/>
                <w:sz w:val="18"/>
                <w:szCs w:val="24"/>
                <w:lang w:eastAsia="tr-TR"/>
              </w:rPr>
            </w:pPr>
            <w:r w:rsidRPr="00783A93">
              <w:rPr>
                <w:rFonts w:ascii="Calibri" w:eastAsia="Times New Roman" w:hAnsi="Calibri" w:cs="Calibri"/>
                <w:sz w:val="18"/>
                <w:szCs w:val="24"/>
                <w:lang w:eastAsia="tr-TR"/>
              </w:rPr>
              <w:t>Kanada</w:t>
            </w:r>
          </w:p>
        </w:tc>
        <w:tc>
          <w:tcPr>
            <w:tcW w:w="611" w:type="dxa"/>
            <w:tcBorders>
              <w:top w:val="nil"/>
              <w:left w:val="nil"/>
              <w:bottom w:val="single" w:sz="4" w:space="0" w:color="auto"/>
              <w:right w:val="single" w:sz="4" w:space="0" w:color="auto"/>
            </w:tcBorders>
            <w:shd w:val="clear" w:color="auto" w:fill="auto"/>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3,0</w:t>
            </w:r>
          </w:p>
        </w:tc>
        <w:tc>
          <w:tcPr>
            <w:tcW w:w="526" w:type="dxa"/>
            <w:tcBorders>
              <w:top w:val="nil"/>
              <w:left w:val="nil"/>
              <w:bottom w:val="single" w:sz="4" w:space="0" w:color="auto"/>
              <w:right w:val="single" w:sz="4" w:space="0" w:color="auto"/>
            </w:tcBorders>
            <w:shd w:val="clear" w:color="auto" w:fill="auto"/>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1,9</w:t>
            </w:r>
          </w:p>
        </w:tc>
        <w:tc>
          <w:tcPr>
            <w:tcW w:w="710"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1,5</w:t>
            </w:r>
          </w:p>
        </w:tc>
        <w:tc>
          <w:tcPr>
            <w:tcW w:w="696"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1,9</w:t>
            </w:r>
          </w:p>
        </w:tc>
        <w:tc>
          <w:tcPr>
            <w:tcW w:w="181" w:type="dxa"/>
            <w:vMerge/>
            <w:tcBorders>
              <w:top w:val="nil"/>
              <w:left w:val="single" w:sz="4" w:space="0" w:color="auto"/>
              <w:bottom w:val="single" w:sz="4" w:space="0" w:color="auto"/>
              <w:right w:val="single" w:sz="4" w:space="0" w:color="auto"/>
            </w:tcBorders>
            <w:vAlign w:val="center"/>
            <w:hideMark/>
          </w:tcPr>
          <w:p w:rsidR="001121C0" w:rsidRPr="00783A93" w:rsidRDefault="001121C0" w:rsidP="00965ACF">
            <w:pPr>
              <w:spacing w:after="0" w:line="240" w:lineRule="auto"/>
              <w:rPr>
                <w:rFonts w:ascii="Calibri" w:eastAsia="Times New Roman" w:hAnsi="Calibri" w:cs="Calibri"/>
                <w:color w:val="000000"/>
                <w:sz w:val="18"/>
                <w:szCs w:val="24"/>
                <w:lang w:eastAsia="tr-TR"/>
              </w:rPr>
            </w:pPr>
          </w:p>
        </w:tc>
        <w:tc>
          <w:tcPr>
            <w:tcW w:w="724"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0,0</w:t>
            </w:r>
          </w:p>
        </w:tc>
        <w:tc>
          <w:tcPr>
            <w:tcW w:w="739"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0,0</w:t>
            </w:r>
          </w:p>
        </w:tc>
      </w:tr>
      <w:tr w:rsidR="001121C0" w:rsidRPr="00783A93" w:rsidTr="00965ACF">
        <w:trPr>
          <w:trHeight w:val="260"/>
          <w:jc w:val="center"/>
        </w:trPr>
        <w:tc>
          <w:tcPr>
            <w:tcW w:w="2870" w:type="dxa"/>
            <w:tcBorders>
              <w:top w:val="nil"/>
              <w:left w:val="single" w:sz="4" w:space="0" w:color="auto"/>
              <w:bottom w:val="single" w:sz="4" w:space="0" w:color="auto"/>
              <w:right w:val="single" w:sz="4" w:space="0" w:color="auto"/>
            </w:tcBorders>
            <w:shd w:val="clear" w:color="auto" w:fill="auto"/>
            <w:vAlign w:val="center"/>
            <w:hideMark/>
          </w:tcPr>
          <w:p w:rsidR="001121C0" w:rsidRPr="00783A93" w:rsidRDefault="001121C0" w:rsidP="00965ACF">
            <w:pPr>
              <w:spacing w:after="0" w:line="240" w:lineRule="auto"/>
              <w:rPr>
                <w:rFonts w:ascii="Calibri" w:eastAsia="Times New Roman" w:hAnsi="Calibri" w:cs="Calibri"/>
                <w:b/>
                <w:bCs/>
                <w:sz w:val="18"/>
                <w:szCs w:val="24"/>
                <w:lang w:eastAsia="tr-TR"/>
              </w:rPr>
            </w:pPr>
            <w:r w:rsidRPr="00783A93">
              <w:rPr>
                <w:rFonts w:ascii="Calibri" w:eastAsia="Times New Roman" w:hAnsi="Calibri" w:cs="Calibri"/>
                <w:b/>
                <w:bCs/>
                <w:sz w:val="18"/>
                <w:szCs w:val="24"/>
                <w:lang w:eastAsia="tr-TR"/>
              </w:rPr>
              <w:t>Diğer Gelişmiş Ekonomiler</w:t>
            </w:r>
          </w:p>
        </w:tc>
        <w:tc>
          <w:tcPr>
            <w:tcW w:w="611" w:type="dxa"/>
            <w:tcBorders>
              <w:top w:val="nil"/>
              <w:left w:val="nil"/>
              <w:bottom w:val="single" w:sz="4" w:space="0" w:color="auto"/>
              <w:right w:val="single" w:sz="4" w:space="0" w:color="auto"/>
            </w:tcBorders>
            <w:shd w:val="clear" w:color="auto" w:fill="auto"/>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2,9</w:t>
            </w:r>
          </w:p>
        </w:tc>
        <w:tc>
          <w:tcPr>
            <w:tcW w:w="526" w:type="dxa"/>
            <w:tcBorders>
              <w:top w:val="nil"/>
              <w:left w:val="nil"/>
              <w:bottom w:val="single" w:sz="4" w:space="0" w:color="auto"/>
              <w:right w:val="single" w:sz="4" w:space="0" w:color="auto"/>
            </w:tcBorders>
            <w:shd w:val="clear" w:color="auto" w:fill="auto"/>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2,6</w:t>
            </w:r>
          </w:p>
        </w:tc>
        <w:tc>
          <w:tcPr>
            <w:tcW w:w="710"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2,1</w:t>
            </w:r>
          </w:p>
        </w:tc>
        <w:tc>
          <w:tcPr>
            <w:tcW w:w="696"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2,4</w:t>
            </w:r>
          </w:p>
        </w:tc>
        <w:tc>
          <w:tcPr>
            <w:tcW w:w="181" w:type="dxa"/>
            <w:vMerge/>
            <w:tcBorders>
              <w:top w:val="nil"/>
              <w:left w:val="single" w:sz="4" w:space="0" w:color="auto"/>
              <w:bottom w:val="single" w:sz="4" w:space="0" w:color="auto"/>
              <w:right w:val="single" w:sz="4" w:space="0" w:color="auto"/>
            </w:tcBorders>
            <w:vAlign w:val="center"/>
            <w:hideMark/>
          </w:tcPr>
          <w:p w:rsidR="001121C0" w:rsidRPr="00783A93" w:rsidRDefault="001121C0" w:rsidP="00965ACF">
            <w:pPr>
              <w:spacing w:after="0" w:line="240" w:lineRule="auto"/>
              <w:rPr>
                <w:rFonts w:ascii="Calibri" w:eastAsia="Times New Roman" w:hAnsi="Calibri" w:cs="Calibri"/>
                <w:color w:val="000000"/>
                <w:sz w:val="18"/>
                <w:szCs w:val="24"/>
                <w:lang w:eastAsia="tr-TR"/>
              </w:rPr>
            </w:pPr>
          </w:p>
        </w:tc>
        <w:tc>
          <w:tcPr>
            <w:tcW w:w="724" w:type="dxa"/>
            <w:tcBorders>
              <w:top w:val="nil"/>
              <w:left w:val="nil"/>
              <w:bottom w:val="single" w:sz="4" w:space="0" w:color="auto"/>
              <w:right w:val="single" w:sz="4" w:space="0" w:color="auto"/>
            </w:tcBorders>
            <w:shd w:val="clear" w:color="000000" w:fill="E9E9FF"/>
            <w:vAlign w:val="center"/>
            <w:hideMark/>
          </w:tcPr>
          <w:p w:rsidR="001121C0" w:rsidRPr="00783A93" w:rsidRDefault="001121C0" w:rsidP="00965ACF">
            <w:pPr>
              <w:spacing w:after="0" w:line="240" w:lineRule="auto"/>
              <w:jc w:val="center"/>
              <w:rPr>
                <w:rFonts w:ascii="Calibri" w:eastAsia="Times New Roman" w:hAnsi="Calibri" w:cs="Calibri"/>
                <w:sz w:val="18"/>
                <w:szCs w:val="24"/>
                <w:lang w:eastAsia="tr-TR"/>
              </w:rPr>
            </w:pPr>
            <w:r w:rsidRPr="00783A93">
              <w:rPr>
                <w:rFonts w:ascii="Calibri" w:eastAsia="Times New Roman" w:hAnsi="Calibri" w:cs="Calibri"/>
                <w:sz w:val="18"/>
                <w:szCs w:val="24"/>
                <w:lang w:eastAsia="tr-TR"/>
              </w:rPr>
              <w:t>–0.1</w:t>
            </w:r>
          </w:p>
        </w:tc>
        <w:tc>
          <w:tcPr>
            <w:tcW w:w="739" w:type="dxa"/>
            <w:tcBorders>
              <w:top w:val="nil"/>
              <w:left w:val="nil"/>
              <w:bottom w:val="single" w:sz="4" w:space="0" w:color="auto"/>
              <w:right w:val="single" w:sz="4" w:space="0" w:color="auto"/>
            </w:tcBorders>
            <w:shd w:val="clear" w:color="000000" w:fill="E9E9FF"/>
            <w:vAlign w:val="center"/>
            <w:hideMark/>
          </w:tcPr>
          <w:p w:rsidR="001121C0" w:rsidRPr="00783A93" w:rsidRDefault="001121C0" w:rsidP="00965ACF">
            <w:pPr>
              <w:spacing w:after="0" w:line="240" w:lineRule="auto"/>
              <w:jc w:val="center"/>
              <w:rPr>
                <w:rFonts w:ascii="Calibri" w:eastAsia="Times New Roman" w:hAnsi="Calibri" w:cs="Calibri"/>
                <w:sz w:val="18"/>
                <w:szCs w:val="24"/>
                <w:lang w:eastAsia="tr-TR"/>
              </w:rPr>
            </w:pPr>
            <w:r w:rsidRPr="00783A93">
              <w:rPr>
                <w:rFonts w:ascii="Calibri" w:eastAsia="Times New Roman" w:hAnsi="Calibri" w:cs="Calibri"/>
                <w:sz w:val="18"/>
                <w:szCs w:val="24"/>
                <w:lang w:eastAsia="tr-TR"/>
              </w:rPr>
              <w:t>–0.1</w:t>
            </w:r>
          </w:p>
        </w:tc>
      </w:tr>
      <w:tr w:rsidR="001121C0" w:rsidRPr="00783A93" w:rsidTr="00965ACF">
        <w:trPr>
          <w:trHeight w:val="420"/>
          <w:jc w:val="center"/>
        </w:trPr>
        <w:tc>
          <w:tcPr>
            <w:tcW w:w="2870" w:type="dxa"/>
            <w:tcBorders>
              <w:top w:val="nil"/>
              <w:left w:val="single" w:sz="4" w:space="0" w:color="auto"/>
              <w:bottom w:val="single" w:sz="4" w:space="0" w:color="auto"/>
              <w:right w:val="single" w:sz="4" w:space="0" w:color="auto"/>
            </w:tcBorders>
            <w:shd w:val="clear" w:color="auto" w:fill="auto"/>
            <w:vAlign w:val="center"/>
            <w:hideMark/>
          </w:tcPr>
          <w:p w:rsidR="001121C0" w:rsidRPr="00783A93" w:rsidRDefault="001121C0" w:rsidP="00965ACF">
            <w:pPr>
              <w:spacing w:after="0" w:line="240" w:lineRule="auto"/>
              <w:rPr>
                <w:rFonts w:ascii="Calibri" w:eastAsia="Times New Roman" w:hAnsi="Calibri" w:cs="Calibri"/>
                <w:b/>
                <w:bCs/>
                <w:color w:val="C00000"/>
                <w:sz w:val="18"/>
                <w:szCs w:val="24"/>
                <w:lang w:eastAsia="tr-TR"/>
              </w:rPr>
            </w:pPr>
            <w:r w:rsidRPr="00783A93">
              <w:rPr>
                <w:rFonts w:ascii="Calibri" w:eastAsia="Times New Roman" w:hAnsi="Calibri" w:cs="Calibri"/>
                <w:b/>
                <w:bCs/>
                <w:color w:val="C00000"/>
                <w:sz w:val="18"/>
                <w:szCs w:val="24"/>
                <w:lang w:eastAsia="tr-TR"/>
              </w:rPr>
              <w:t>Yükselen Piyasalar ve Gelişmekte Olan Ekonomiler</w:t>
            </w:r>
          </w:p>
        </w:tc>
        <w:tc>
          <w:tcPr>
            <w:tcW w:w="611" w:type="dxa"/>
            <w:tcBorders>
              <w:top w:val="nil"/>
              <w:left w:val="nil"/>
              <w:bottom w:val="single" w:sz="4" w:space="0" w:color="auto"/>
              <w:right w:val="single" w:sz="4" w:space="0" w:color="auto"/>
            </w:tcBorders>
            <w:shd w:val="clear" w:color="auto" w:fill="auto"/>
            <w:noWrap/>
            <w:vAlign w:val="center"/>
            <w:hideMark/>
          </w:tcPr>
          <w:p w:rsidR="001121C0" w:rsidRPr="00783A93" w:rsidRDefault="001121C0" w:rsidP="00965ACF">
            <w:pPr>
              <w:spacing w:after="0" w:line="240" w:lineRule="auto"/>
              <w:jc w:val="center"/>
              <w:rPr>
                <w:rFonts w:ascii="Calibri" w:eastAsia="Times New Roman" w:hAnsi="Calibri" w:cs="Calibri"/>
                <w:b/>
                <w:bCs/>
                <w:color w:val="000000"/>
                <w:sz w:val="18"/>
                <w:szCs w:val="24"/>
                <w:lang w:eastAsia="tr-TR"/>
              </w:rPr>
            </w:pPr>
            <w:r w:rsidRPr="00783A93">
              <w:rPr>
                <w:rFonts w:ascii="Calibri" w:eastAsia="Times New Roman" w:hAnsi="Calibri" w:cs="Calibri"/>
                <w:b/>
                <w:bCs/>
                <w:color w:val="000000"/>
                <w:sz w:val="18"/>
                <w:szCs w:val="24"/>
                <w:lang w:eastAsia="tr-TR"/>
              </w:rPr>
              <w:t>4,8</w:t>
            </w:r>
          </w:p>
        </w:tc>
        <w:tc>
          <w:tcPr>
            <w:tcW w:w="526" w:type="dxa"/>
            <w:tcBorders>
              <w:top w:val="nil"/>
              <w:left w:val="nil"/>
              <w:bottom w:val="single" w:sz="4" w:space="0" w:color="auto"/>
              <w:right w:val="single" w:sz="4" w:space="0" w:color="auto"/>
            </w:tcBorders>
            <w:shd w:val="clear" w:color="auto" w:fill="auto"/>
            <w:noWrap/>
            <w:vAlign w:val="center"/>
            <w:hideMark/>
          </w:tcPr>
          <w:p w:rsidR="001121C0" w:rsidRPr="00783A93" w:rsidRDefault="001121C0" w:rsidP="00965ACF">
            <w:pPr>
              <w:spacing w:after="0" w:line="240" w:lineRule="auto"/>
              <w:jc w:val="center"/>
              <w:rPr>
                <w:rFonts w:ascii="Calibri" w:eastAsia="Times New Roman" w:hAnsi="Calibri" w:cs="Calibri"/>
                <w:b/>
                <w:bCs/>
                <w:color w:val="000000"/>
                <w:sz w:val="18"/>
                <w:szCs w:val="24"/>
                <w:lang w:eastAsia="tr-TR"/>
              </w:rPr>
            </w:pPr>
            <w:r w:rsidRPr="00783A93">
              <w:rPr>
                <w:rFonts w:ascii="Calibri" w:eastAsia="Times New Roman" w:hAnsi="Calibri" w:cs="Calibri"/>
                <w:b/>
                <w:bCs/>
                <w:color w:val="000000"/>
                <w:sz w:val="18"/>
                <w:szCs w:val="24"/>
                <w:lang w:eastAsia="tr-TR"/>
              </w:rPr>
              <w:t>4,5</w:t>
            </w:r>
          </w:p>
        </w:tc>
        <w:tc>
          <w:tcPr>
            <w:tcW w:w="710"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b/>
                <w:bCs/>
                <w:color w:val="000000"/>
                <w:sz w:val="18"/>
                <w:szCs w:val="24"/>
                <w:lang w:eastAsia="tr-TR"/>
              </w:rPr>
            </w:pPr>
            <w:r w:rsidRPr="00783A93">
              <w:rPr>
                <w:rFonts w:ascii="Calibri" w:eastAsia="Times New Roman" w:hAnsi="Calibri" w:cs="Calibri"/>
                <w:b/>
                <w:bCs/>
                <w:color w:val="000000"/>
                <w:sz w:val="18"/>
                <w:szCs w:val="24"/>
                <w:lang w:eastAsia="tr-TR"/>
              </w:rPr>
              <w:t>4,1</w:t>
            </w:r>
          </w:p>
        </w:tc>
        <w:tc>
          <w:tcPr>
            <w:tcW w:w="696"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b/>
                <w:bCs/>
                <w:color w:val="000000"/>
                <w:sz w:val="18"/>
                <w:szCs w:val="24"/>
                <w:lang w:eastAsia="tr-TR"/>
              </w:rPr>
            </w:pPr>
            <w:r w:rsidRPr="00783A93">
              <w:rPr>
                <w:rFonts w:ascii="Calibri" w:eastAsia="Times New Roman" w:hAnsi="Calibri" w:cs="Calibri"/>
                <w:b/>
                <w:bCs/>
                <w:color w:val="000000"/>
                <w:sz w:val="18"/>
                <w:szCs w:val="24"/>
                <w:lang w:eastAsia="tr-TR"/>
              </w:rPr>
              <w:t>4,7</w:t>
            </w:r>
          </w:p>
        </w:tc>
        <w:tc>
          <w:tcPr>
            <w:tcW w:w="181" w:type="dxa"/>
            <w:vMerge/>
            <w:tcBorders>
              <w:top w:val="nil"/>
              <w:left w:val="single" w:sz="4" w:space="0" w:color="auto"/>
              <w:bottom w:val="single" w:sz="4" w:space="0" w:color="auto"/>
              <w:right w:val="single" w:sz="4" w:space="0" w:color="auto"/>
            </w:tcBorders>
            <w:vAlign w:val="center"/>
            <w:hideMark/>
          </w:tcPr>
          <w:p w:rsidR="001121C0" w:rsidRPr="00783A93" w:rsidRDefault="001121C0" w:rsidP="00965ACF">
            <w:pPr>
              <w:spacing w:after="0" w:line="240" w:lineRule="auto"/>
              <w:rPr>
                <w:rFonts w:ascii="Calibri" w:eastAsia="Times New Roman" w:hAnsi="Calibri" w:cs="Calibri"/>
                <w:color w:val="000000"/>
                <w:sz w:val="18"/>
                <w:szCs w:val="24"/>
                <w:lang w:eastAsia="tr-TR"/>
              </w:rPr>
            </w:pPr>
          </w:p>
        </w:tc>
        <w:tc>
          <w:tcPr>
            <w:tcW w:w="724" w:type="dxa"/>
            <w:tcBorders>
              <w:top w:val="nil"/>
              <w:left w:val="nil"/>
              <w:bottom w:val="single" w:sz="4" w:space="0" w:color="auto"/>
              <w:right w:val="single" w:sz="4" w:space="0" w:color="auto"/>
            </w:tcBorders>
            <w:shd w:val="clear" w:color="000000" w:fill="E9E9FF"/>
            <w:vAlign w:val="center"/>
            <w:hideMark/>
          </w:tcPr>
          <w:p w:rsidR="001121C0" w:rsidRPr="00783A93" w:rsidRDefault="001121C0" w:rsidP="00965ACF">
            <w:pPr>
              <w:spacing w:after="0" w:line="240" w:lineRule="auto"/>
              <w:jc w:val="center"/>
              <w:rPr>
                <w:rFonts w:ascii="Calibri" w:eastAsia="Times New Roman" w:hAnsi="Calibri" w:cs="Calibri"/>
                <w:b/>
                <w:bCs/>
                <w:sz w:val="18"/>
                <w:szCs w:val="24"/>
                <w:lang w:eastAsia="tr-TR"/>
              </w:rPr>
            </w:pPr>
            <w:r w:rsidRPr="00783A93">
              <w:rPr>
                <w:rFonts w:ascii="Calibri" w:eastAsia="Times New Roman" w:hAnsi="Calibri" w:cs="Calibri"/>
                <w:b/>
                <w:bCs/>
                <w:sz w:val="18"/>
                <w:szCs w:val="24"/>
                <w:lang w:eastAsia="tr-TR"/>
              </w:rPr>
              <w:t>–0.3</w:t>
            </w:r>
          </w:p>
        </w:tc>
        <w:tc>
          <w:tcPr>
            <w:tcW w:w="739" w:type="dxa"/>
            <w:tcBorders>
              <w:top w:val="nil"/>
              <w:left w:val="nil"/>
              <w:bottom w:val="single" w:sz="4" w:space="0" w:color="auto"/>
              <w:right w:val="single" w:sz="4" w:space="0" w:color="auto"/>
            </w:tcBorders>
            <w:shd w:val="clear" w:color="000000" w:fill="E9E9FF"/>
            <w:vAlign w:val="center"/>
            <w:hideMark/>
          </w:tcPr>
          <w:p w:rsidR="001121C0" w:rsidRPr="00783A93" w:rsidRDefault="001121C0" w:rsidP="00965ACF">
            <w:pPr>
              <w:spacing w:after="0" w:line="240" w:lineRule="auto"/>
              <w:jc w:val="center"/>
              <w:rPr>
                <w:rFonts w:ascii="Calibri" w:eastAsia="Times New Roman" w:hAnsi="Calibri" w:cs="Calibri"/>
                <w:b/>
                <w:bCs/>
                <w:sz w:val="18"/>
                <w:szCs w:val="24"/>
                <w:lang w:eastAsia="tr-TR"/>
              </w:rPr>
            </w:pPr>
            <w:r w:rsidRPr="00783A93">
              <w:rPr>
                <w:rFonts w:ascii="Calibri" w:eastAsia="Times New Roman" w:hAnsi="Calibri" w:cs="Calibri"/>
                <w:b/>
                <w:bCs/>
                <w:sz w:val="18"/>
                <w:szCs w:val="24"/>
                <w:lang w:eastAsia="tr-TR"/>
              </w:rPr>
              <w:t>–0.1</w:t>
            </w:r>
          </w:p>
        </w:tc>
      </w:tr>
      <w:tr w:rsidR="001121C0" w:rsidRPr="00783A93" w:rsidTr="00965ACF">
        <w:trPr>
          <w:trHeight w:val="260"/>
          <w:jc w:val="center"/>
        </w:trPr>
        <w:tc>
          <w:tcPr>
            <w:tcW w:w="2870" w:type="dxa"/>
            <w:tcBorders>
              <w:top w:val="nil"/>
              <w:left w:val="single" w:sz="4" w:space="0" w:color="auto"/>
              <w:bottom w:val="single" w:sz="4" w:space="0" w:color="auto"/>
              <w:right w:val="single" w:sz="4" w:space="0" w:color="auto"/>
            </w:tcBorders>
            <w:shd w:val="clear" w:color="auto" w:fill="auto"/>
            <w:vAlign w:val="center"/>
            <w:hideMark/>
          </w:tcPr>
          <w:p w:rsidR="001121C0" w:rsidRPr="00783A93" w:rsidRDefault="001121C0" w:rsidP="00965ACF">
            <w:pPr>
              <w:spacing w:after="0" w:line="240" w:lineRule="auto"/>
              <w:rPr>
                <w:rFonts w:ascii="Calibri" w:eastAsia="Times New Roman" w:hAnsi="Calibri" w:cs="Calibri"/>
                <w:b/>
                <w:bCs/>
                <w:sz w:val="18"/>
                <w:szCs w:val="24"/>
                <w:lang w:eastAsia="tr-TR"/>
              </w:rPr>
            </w:pPr>
            <w:r w:rsidRPr="00783A93">
              <w:rPr>
                <w:rFonts w:ascii="Calibri" w:eastAsia="Times New Roman" w:hAnsi="Calibri" w:cs="Calibri"/>
                <w:b/>
                <w:bCs/>
                <w:sz w:val="18"/>
                <w:szCs w:val="24"/>
                <w:lang w:eastAsia="tr-TR"/>
              </w:rPr>
              <w:t>Bağımsız Devletler Topluluğu</w:t>
            </w:r>
          </w:p>
        </w:tc>
        <w:tc>
          <w:tcPr>
            <w:tcW w:w="611" w:type="dxa"/>
            <w:tcBorders>
              <w:top w:val="nil"/>
              <w:left w:val="nil"/>
              <w:bottom w:val="single" w:sz="4" w:space="0" w:color="auto"/>
              <w:right w:val="single" w:sz="4" w:space="0" w:color="auto"/>
            </w:tcBorders>
            <w:shd w:val="clear" w:color="auto" w:fill="auto"/>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2,2</w:t>
            </w:r>
          </w:p>
        </w:tc>
        <w:tc>
          <w:tcPr>
            <w:tcW w:w="526" w:type="dxa"/>
            <w:tcBorders>
              <w:top w:val="nil"/>
              <w:left w:val="nil"/>
              <w:bottom w:val="single" w:sz="4" w:space="0" w:color="auto"/>
              <w:right w:val="single" w:sz="4" w:space="0" w:color="auto"/>
            </w:tcBorders>
            <w:shd w:val="clear" w:color="auto" w:fill="auto"/>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2,7</w:t>
            </w:r>
          </w:p>
        </w:tc>
        <w:tc>
          <w:tcPr>
            <w:tcW w:w="710"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1,9</w:t>
            </w:r>
          </w:p>
        </w:tc>
        <w:tc>
          <w:tcPr>
            <w:tcW w:w="696"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2,4</w:t>
            </w:r>
          </w:p>
        </w:tc>
        <w:tc>
          <w:tcPr>
            <w:tcW w:w="181" w:type="dxa"/>
            <w:vMerge/>
            <w:tcBorders>
              <w:top w:val="nil"/>
              <w:left w:val="single" w:sz="4" w:space="0" w:color="auto"/>
              <w:bottom w:val="single" w:sz="4" w:space="0" w:color="auto"/>
              <w:right w:val="single" w:sz="4" w:space="0" w:color="auto"/>
            </w:tcBorders>
            <w:vAlign w:val="center"/>
            <w:hideMark/>
          </w:tcPr>
          <w:p w:rsidR="001121C0" w:rsidRPr="00783A93" w:rsidRDefault="001121C0" w:rsidP="00965ACF">
            <w:pPr>
              <w:spacing w:after="0" w:line="240" w:lineRule="auto"/>
              <w:rPr>
                <w:rFonts w:ascii="Calibri" w:eastAsia="Times New Roman" w:hAnsi="Calibri" w:cs="Calibri"/>
                <w:color w:val="000000"/>
                <w:sz w:val="18"/>
                <w:szCs w:val="24"/>
                <w:lang w:eastAsia="tr-TR"/>
              </w:rPr>
            </w:pPr>
          </w:p>
        </w:tc>
        <w:tc>
          <w:tcPr>
            <w:tcW w:w="724" w:type="dxa"/>
            <w:tcBorders>
              <w:top w:val="nil"/>
              <w:left w:val="nil"/>
              <w:bottom w:val="single" w:sz="4" w:space="0" w:color="auto"/>
              <w:right w:val="single" w:sz="4" w:space="0" w:color="auto"/>
            </w:tcBorders>
            <w:shd w:val="clear" w:color="000000" w:fill="E9E9FF"/>
            <w:vAlign w:val="center"/>
            <w:hideMark/>
          </w:tcPr>
          <w:p w:rsidR="001121C0" w:rsidRPr="00783A93" w:rsidRDefault="001121C0" w:rsidP="00965ACF">
            <w:pPr>
              <w:spacing w:after="0" w:line="240" w:lineRule="auto"/>
              <w:jc w:val="center"/>
              <w:rPr>
                <w:rFonts w:ascii="Calibri" w:eastAsia="Times New Roman" w:hAnsi="Calibri" w:cs="Calibri"/>
                <w:sz w:val="18"/>
                <w:szCs w:val="24"/>
                <w:lang w:eastAsia="tr-TR"/>
              </w:rPr>
            </w:pPr>
            <w:r w:rsidRPr="00783A93">
              <w:rPr>
                <w:rFonts w:ascii="Calibri" w:eastAsia="Times New Roman" w:hAnsi="Calibri" w:cs="Calibri"/>
                <w:sz w:val="18"/>
                <w:szCs w:val="24"/>
                <w:lang w:eastAsia="tr-TR"/>
              </w:rPr>
              <w:t>–0.3</w:t>
            </w:r>
          </w:p>
        </w:tc>
        <w:tc>
          <w:tcPr>
            <w:tcW w:w="739"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0,1</w:t>
            </w:r>
          </w:p>
        </w:tc>
      </w:tr>
      <w:tr w:rsidR="001121C0" w:rsidRPr="00783A93" w:rsidTr="00965ACF">
        <w:trPr>
          <w:trHeight w:val="260"/>
          <w:jc w:val="center"/>
        </w:trPr>
        <w:tc>
          <w:tcPr>
            <w:tcW w:w="2870" w:type="dxa"/>
            <w:tcBorders>
              <w:top w:val="nil"/>
              <w:left w:val="single" w:sz="4" w:space="0" w:color="auto"/>
              <w:bottom w:val="single" w:sz="4" w:space="0" w:color="auto"/>
              <w:right w:val="single" w:sz="4" w:space="0" w:color="auto"/>
            </w:tcBorders>
            <w:shd w:val="clear" w:color="auto" w:fill="auto"/>
            <w:vAlign w:val="center"/>
            <w:hideMark/>
          </w:tcPr>
          <w:p w:rsidR="001121C0" w:rsidRPr="00783A93" w:rsidRDefault="001121C0" w:rsidP="00965ACF">
            <w:pPr>
              <w:spacing w:after="0" w:line="240" w:lineRule="auto"/>
              <w:rPr>
                <w:rFonts w:ascii="Calibri" w:eastAsia="Times New Roman" w:hAnsi="Calibri" w:cs="Calibri"/>
                <w:sz w:val="18"/>
                <w:szCs w:val="24"/>
                <w:lang w:eastAsia="tr-TR"/>
              </w:rPr>
            </w:pPr>
            <w:r w:rsidRPr="00783A93">
              <w:rPr>
                <w:rFonts w:ascii="Calibri" w:eastAsia="Times New Roman" w:hAnsi="Calibri" w:cs="Calibri"/>
                <w:sz w:val="18"/>
                <w:szCs w:val="24"/>
                <w:lang w:eastAsia="tr-TR"/>
              </w:rPr>
              <w:t>Rusya</w:t>
            </w:r>
          </w:p>
        </w:tc>
        <w:tc>
          <w:tcPr>
            <w:tcW w:w="611" w:type="dxa"/>
            <w:tcBorders>
              <w:top w:val="nil"/>
              <w:left w:val="nil"/>
              <w:bottom w:val="single" w:sz="4" w:space="0" w:color="auto"/>
              <w:right w:val="single" w:sz="4" w:space="0" w:color="auto"/>
            </w:tcBorders>
            <w:shd w:val="clear" w:color="auto" w:fill="auto"/>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1,6</w:t>
            </w:r>
          </w:p>
        </w:tc>
        <w:tc>
          <w:tcPr>
            <w:tcW w:w="526" w:type="dxa"/>
            <w:tcBorders>
              <w:top w:val="nil"/>
              <w:left w:val="nil"/>
              <w:bottom w:val="single" w:sz="4" w:space="0" w:color="auto"/>
              <w:right w:val="single" w:sz="4" w:space="0" w:color="auto"/>
            </w:tcBorders>
            <w:shd w:val="clear" w:color="auto" w:fill="auto"/>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2,3</w:t>
            </w:r>
          </w:p>
        </w:tc>
        <w:tc>
          <w:tcPr>
            <w:tcW w:w="710"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1,2</w:t>
            </w:r>
          </w:p>
        </w:tc>
        <w:tc>
          <w:tcPr>
            <w:tcW w:w="696"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1,9</w:t>
            </w:r>
          </w:p>
        </w:tc>
        <w:tc>
          <w:tcPr>
            <w:tcW w:w="181" w:type="dxa"/>
            <w:vMerge/>
            <w:tcBorders>
              <w:top w:val="nil"/>
              <w:left w:val="single" w:sz="4" w:space="0" w:color="auto"/>
              <w:bottom w:val="single" w:sz="4" w:space="0" w:color="auto"/>
              <w:right w:val="single" w:sz="4" w:space="0" w:color="auto"/>
            </w:tcBorders>
            <w:vAlign w:val="center"/>
            <w:hideMark/>
          </w:tcPr>
          <w:p w:rsidR="001121C0" w:rsidRPr="00783A93" w:rsidRDefault="001121C0" w:rsidP="00965ACF">
            <w:pPr>
              <w:spacing w:after="0" w:line="240" w:lineRule="auto"/>
              <w:rPr>
                <w:rFonts w:ascii="Calibri" w:eastAsia="Times New Roman" w:hAnsi="Calibri" w:cs="Calibri"/>
                <w:color w:val="000000"/>
                <w:sz w:val="18"/>
                <w:szCs w:val="24"/>
                <w:lang w:eastAsia="tr-TR"/>
              </w:rPr>
            </w:pPr>
          </w:p>
        </w:tc>
        <w:tc>
          <w:tcPr>
            <w:tcW w:w="724" w:type="dxa"/>
            <w:tcBorders>
              <w:top w:val="nil"/>
              <w:left w:val="nil"/>
              <w:bottom w:val="single" w:sz="4" w:space="0" w:color="auto"/>
              <w:right w:val="single" w:sz="4" w:space="0" w:color="auto"/>
            </w:tcBorders>
            <w:shd w:val="clear" w:color="000000" w:fill="E9E9FF"/>
            <w:vAlign w:val="center"/>
            <w:hideMark/>
          </w:tcPr>
          <w:p w:rsidR="001121C0" w:rsidRPr="00783A93" w:rsidRDefault="001121C0" w:rsidP="00965ACF">
            <w:pPr>
              <w:spacing w:after="0" w:line="240" w:lineRule="auto"/>
              <w:jc w:val="center"/>
              <w:rPr>
                <w:rFonts w:ascii="Calibri" w:eastAsia="Times New Roman" w:hAnsi="Calibri" w:cs="Calibri"/>
                <w:sz w:val="18"/>
                <w:szCs w:val="24"/>
                <w:lang w:eastAsia="tr-TR"/>
              </w:rPr>
            </w:pPr>
            <w:r w:rsidRPr="00783A93">
              <w:rPr>
                <w:rFonts w:ascii="Calibri" w:eastAsia="Times New Roman" w:hAnsi="Calibri" w:cs="Calibri"/>
                <w:sz w:val="18"/>
                <w:szCs w:val="24"/>
                <w:lang w:eastAsia="tr-TR"/>
              </w:rPr>
              <w:t>–0.4</w:t>
            </w:r>
          </w:p>
        </w:tc>
        <w:tc>
          <w:tcPr>
            <w:tcW w:w="739"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0,2</w:t>
            </w:r>
          </w:p>
        </w:tc>
      </w:tr>
      <w:tr w:rsidR="001121C0" w:rsidRPr="00783A93" w:rsidTr="00965ACF">
        <w:trPr>
          <w:trHeight w:val="260"/>
          <w:jc w:val="center"/>
        </w:trPr>
        <w:tc>
          <w:tcPr>
            <w:tcW w:w="2870" w:type="dxa"/>
            <w:tcBorders>
              <w:top w:val="nil"/>
              <w:left w:val="single" w:sz="4" w:space="0" w:color="auto"/>
              <w:bottom w:val="single" w:sz="4" w:space="0" w:color="auto"/>
              <w:right w:val="single" w:sz="4" w:space="0" w:color="auto"/>
            </w:tcBorders>
            <w:shd w:val="clear" w:color="auto" w:fill="auto"/>
            <w:vAlign w:val="center"/>
            <w:hideMark/>
          </w:tcPr>
          <w:p w:rsidR="001121C0" w:rsidRPr="00783A93" w:rsidRDefault="001121C0" w:rsidP="00965ACF">
            <w:pPr>
              <w:spacing w:after="0" w:line="240" w:lineRule="auto"/>
              <w:rPr>
                <w:rFonts w:ascii="Calibri" w:eastAsia="Times New Roman" w:hAnsi="Calibri" w:cs="Calibri"/>
                <w:sz w:val="18"/>
                <w:szCs w:val="24"/>
                <w:lang w:eastAsia="tr-TR"/>
              </w:rPr>
            </w:pPr>
            <w:r w:rsidRPr="00783A93">
              <w:rPr>
                <w:rFonts w:ascii="Calibri" w:eastAsia="Times New Roman" w:hAnsi="Calibri" w:cs="Calibri"/>
                <w:sz w:val="18"/>
                <w:szCs w:val="24"/>
                <w:lang w:eastAsia="tr-TR"/>
              </w:rPr>
              <w:t>Rusya hariç</w:t>
            </w:r>
          </w:p>
        </w:tc>
        <w:tc>
          <w:tcPr>
            <w:tcW w:w="611" w:type="dxa"/>
            <w:tcBorders>
              <w:top w:val="nil"/>
              <w:left w:val="nil"/>
              <w:bottom w:val="single" w:sz="4" w:space="0" w:color="auto"/>
              <w:right w:val="single" w:sz="4" w:space="0" w:color="auto"/>
            </w:tcBorders>
            <w:shd w:val="clear" w:color="auto" w:fill="auto"/>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3,5</w:t>
            </w:r>
          </w:p>
        </w:tc>
        <w:tc>
          <w:tcPr>
            <w:tcW w:w="526" w:type="dxa"/>
            <w:tcBorders>
              <w:top w:val="nil"/>
              <w:left w:val="nil"/>
              <w:bottom w:val="single" w:sz="4" w:space="0" w:color="auto"/>
              <w:right w:val="single" w:sz="4" w:space="0" w:color="auto"/>
            </w:tcBorders>
            <w:shd w:val="clear" w:color="auto" w:fill="auto"/>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3,9</w:t>
            </w:r>
          </w:p>
        </w:tc>
        <w:tc>
          <w:tcPr>
            <w:tcW w:w="710"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3,5</w:t>
            </w:r>
          </w:p>
        </w:tc>
        <w:tc>
          <w:tcPr>
            <w:tcW w:w="696"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3,7</w:t>
            </w:r>
          </w:p>
        </w:tc>
        <w:tc>
          <w:tcPr>
            <w:tcW w:w="181" w:type="dxa"/>
            <w:vMerge/>
            <w:tcBorders>
              <w:top w:val="nil"/>
              <w:left w:val="single" w:sz="4" w:space="0" w:color="auto"/>
              <w:bottom w:val="single" w:sz="4" w:space="0" w:color="auto"/>
              <w:right w:val="single" w:sz="4" w:space="0" w:color="auto"/>
            </w:tcBorders>
            <w:vAlign w:val="center"/>
            <w:hideMark/>
          </w:tcPr>
          <w:p w:rsidR="001121C0" w:rsidRPr="00783A93" w:rsidRDefault="001121C0" w:rsidP="00965ACF">
            <w:pPr>
              <w:spacing w:after="0" w:line="240" w:lineRule="auto"/>
              <w:rPr>
                <w:rFonts w:ascii="Calibri" w:eastAsia="Times New Roman" w:hAnsi="Calibri" w:cs="Calibri"/>
                <w:color w:val="000000"/>
                <w:sz w:val="18"/>
                <w:szCs w:val="24"/>
                <w:lang w:eastAsia="tr-TR"/>
              </w:rPr>
            </w:pPr>
          </w:p>
        </w:tc>
        <w:tc>
          <w:tcPr>
            <w:tcW w:w="724"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0,0</w:t>
            </w:r>
          </w:p>
        </w:tc>
        <w:tc>
          <w:tcPr>
            <w:tcW w:w="739"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0,0</w:t>
            </w:r>
          </w:p>
        </w:tc>
      </w:tr>
      <w:tr w:rsidR="001121C0" w:rsidRPr="00783A93" w:rsidTr="00965ACF">
        <w:trPr>
          <w:trHeight w:val="310"/>
          <w:jc w:val="center"/>
        </w:trPr>
        <w:tc>
          <w:tcPr>
            <w:tcW w:w="2870" w:type="dxa"/>
            <w:tcBorders>
              <w:top w:val="nil"/>
              <w:left w:val="single" w:sz="4" w:space="0" w:color="auto"/>
              <w:bottom w:val="single" w:sz="4" w:space="0" w:color="auto"/>
              <w:right w:val="single" w:sz="4" w:space="0" w:color="auto"/>
            </w:tcBorders>
            <w:shd w:val="clear" w:color="auto" w:fill="auto"/>
            <w:vAlign w:val="center"/>
            <w:hideMark/>
          </w:tcPr>
          <w:p w:rsidR="001121C0" w:rsidRPr="00783A93" w:rsidRDefault="001121C0" w:rsidP="00965ACF">
            <w:pPr>
              <w:spacing w:after="0" w:line="240" w:lineRule="auto"/>
              <w:rPr>
                <w:rFonts w:ascii="Calibri" w:eastAsia="Times New Roman" w:hAnsi="Calibri" w:cs="Calibri"/>
                <w:b/>
                <w:bCs/>
                <w:sz w:val="18"/>
                <w:szCs w:val="24"/>
                <w:lang w:eastAsia="tr-TR"/>
              </w:rPr>
            </w:pPr>
            <w:r w:rsidRPr="00783A93">
              <w:rPr>
                <w:rFonts w:ascii="Calibri" w:eastAsia="Times New Roman" w:hAnsi="Calibri" w:cs="Calibri"/>
                <w:b/>
                <w:bCs/>
                <w:sz w:val="18"/>
                <w:szCs w:val="24"/>
                <w:lang w:eastAsia="tr-TR"/>
              </w:rPr>
              <w:t>Gelişen ve Yükselen Asya</w:t>
            </w:r>
          </w:p>
        </w:tc>
        <w:tc>
          <w:tcPr>
            <w:tcW w:w="611" w:type="dxa"/>
            <w:tcBorders>
              <w:top w:val="nil"/>
              <w:left w:val="nil"/>
              <w:bottom w:val="single" w:sz="4" w:space="0" w:color="auto"/>
              <w:right w:val="single" w:sz="4" w:space="0" w:color="auto"/>
            </w:tcBorders>
            <w:shd w:val="clear" w:color="auto" w:fill="auto"/>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6,6</w:t>
            </w:r>
          </w:p>
        </w:tc>
        <w:tc>
          <w:tcPr>
            <w:tcW w:w="526" w:type="dxa"/>
            <w:tcBorders>
              <w:top w:val="nil"/>
              <w:left w:val="nil"/>
              <w:bottom w:val="single" w:sz="4" w:space="0" w:color="auto"/>
              <w:right w:val="single" w:sz="4" w:space="0" w:color="auto"/>
            </w:tcBorders>
            <w:shd w:val="clear" w:color="auto" w:fill="auto"/>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6,4</w:t>
            </w:r>
          </w:p>
        </w:tc>
        <w:tc>
          <w:tcPr>
            <w:tcW w:w="710"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6,2</w:t>
            </w:r>
          </w:p>
        </w:tc>
        <w:tc>
          <w:tcPr>
            <w:tcW w:w="696"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6,2</w:t>
            </w:r>
          </w:p>
        </w:tc>
        <w:tc>
          <w:tcPr>
            <w:tcW w:w="181" w:type="dxa"/>
            <w:vMerge/>
            <w:tcBorders>
              <w:top w:val="nil"/>
              <w:left w:val="single" w:sz="4" w:space="0" w:color="auto"/>
              <w:bottom w:val="single" w:sz="4" w:space="0" w:color="auto"/>
              <w:right w:val="single" w:sz="4" w:space="0" w:color="auto"/>
            </w:tcBorders>
            <w:vAlign w:val="center"/>
            <w:hideMark/>
          </w:tcPr>
          <w:p w:rsidR="001121C0" w:rsidRPr="00783A93" w:rsidRDefault="001121C0" w:rsidP="00965ACF">
            <w:pPr>
              <w:spacing w:after="0" w:line="240" w:lineRule="auto"/>
              <w:rPr>
                <w:rFonts w:ascii="Calibri" w:eastAsia="Times New Roman" w:hAnsi="Calibri" w:cs="Calibri"/>
                <w:color w:val="000000"/>
                <w:sz w:val="18"/>
                <w:szCs w:val="24"/>
                <w:lang w:eastAsia="tr-TR"/>
              </w:rPr>
            </w:pPr>
          </w:p>
        </w:tc>
        <w:tc>
          <w:tcPr>
            <w:tcW w:w="724" w:type="dxa"/>
            <w:tcBorders>
              <w:top w:val="nil"/>
              <w:left w:val="nil"/>
              <w:bottom w:val="single" w:sz="4" w:space="0" w:color="auto"/>
              <w:right w:val="single" w:sz="4" w:space="0" w:color="auto"/>
            </w:tcBorders>
            <w:shd w:val="clear" w:color="000000" w:fill="E9E9FF"/>
            <w:vAlign w:val="center"/>
            <w:hideMark/>
          </w:tcPr>
          <w:p w:rsidR="001121C0" w:rsidRPr="00783A93" w:rsidRDefault="001121C0" w:rsidP="00965ACF">
            <w:pPr>
              <w:spacing w:after="0" w:line="240" w:lineRule="auto"/>
              <w:jc w:val="center"/>
              <w:rPr>
                <w:rFonts w:ascii="Calibri" w:eastAsia="Times New Roman" w:hAnsi="Calibri" w:cs="Calibri"/>
                <w:sz w:val="18"/>
                <w:szCs w:val="24"/>
                <w:lang w:eastAsia="tr-TR"/>
              </w:rPr>
            </w:pPr>
            <w:r w:rsidRPr="00783A93">
              <w:rPr>
                <w:rFonts w:ascii="Calibri" w:eastAsia="Times New Roman" w:hAnsi="Calibri" w:cs="Calibri"/>
                <w:sz w:val="18"/>
                <w:szCs w:val="24"/>
                <w:lang w:eastAsia="tr-TR"/>
              </w:rPr>
              <w:t>–0.1</w:t>
            </w:r>
          </w:p>
        </w:tc>
        <w:tc>
          <w:tcPr>
            <w:tcW w:w="739" w:type="dxa"/>
            <w:tcBorders>
              <w:top w:val="nil"/>
              <w:left w:val="nil"/>
              <w:bottom w:val="single" w:sz="4" w:space="0" w:color="auto"/>
              <w:right w:val="single" w:sz="4" w:space="0" w:color="auto"/>
            </w:tcBorders>
            <w:shd w:val="clear" w:color="000000" w:fill="E9E9FF"/>
            <w:vAlign w:val="center"/>
            <w:hideMark/>
          </w:tcPr>
          <w:p w:rsidR="001121C0" w:rsidRPr="00783A93" w:rsidRDefault="001121C0" w:rsidP="00965ACF">
            <w:pPr>
              <w:spacing w:after="0" w:line="240" w:lineRule="auto"/>
              <w:jc w:val="center"/>
              <w:rPr>
                <w:rFonts w:ascii="Calibri" w:eastAsia="Times New Roman" w:hAnsi="Calibri" w:cs="Calibri"/>
                <w:sz w:val="18"/>
                <w:szCs w:val="24"/>
                <w:lang w:eastAsia="tr-TR"/>
              </w:rPr>
            </w:pPr>
            <w:r w:rsidRPr="00783A93">
              <w:rPr>
                <w:rFonts w:ascii="Calibri" w:eastAsia="Times New Roman" w:hAnsi="Calibri" w:cs="Calibri"/>
                <w:sz w:val="18"/>
                <w:szCs w:val="24"/>
                <w:lang w:eastAsia="tr-TR"/>
              </w:rPr>
              <w:t>–0.1</w:t>
            </w:r>
          </w:p>
        </w:tc>
      </w:tr>
      <w:tr w:rsidR="001121C0" w:rsidRPr="00783A93" w:rsidTr="00965ACF">
        <w:trPr>
          <w:trHeight w:val="260"/>
          <w:jc w:val="center"/>
        </w:trPr>
        <w:tc>
          <w:tcPr>
            <w:tcW w:w="2870" w:type="dxa"/>
            <w:tcBorders>
              <w:top w:val="nil"/>
              <w:left w:val="single" w:sz="4" w:space="0" w:color="auto"/>
              <w:bottom w:val="single" w:sz="4" w:space="0" w:color="auto"/>
              <w:right w:val="single" w:sz="4" w:space="0" w:color="auto"/>
            </w:tcBorders>
            <w:shd w:val="clear" w:color="auto" w:fill="auto"/>
            <w:vAlign w:val="center"/>
            <w:hideMark/>
          </w:tcPr>
          <w:p w:rsidR="001121C0" w:rsidRPr="00783A93" w:rsidRDefault="001121C0" w:rsidP="00965ACF">
            <w:pPr>
              <w:spacing w:after="0" w:line="240" w:lineRule="auto"/>
              <w:rPr>
                <w:rFonts w:ascii="Calibri" w:eastAsia="Times New Roman" w:hAnsi="Calibri" w:cs="Calibri"/>
                <w:sz w:val="18"/>
                <w:szCs w:val="24"/>
                <w:lang w:eastAsia="tr-TR"/>
              </w:rPr>
            </w:pPr>
            <w:r w:rsidRPr="00783A93">
              <w:rPr>
                <w:rFonts w:ascii="Calibri" w:eastAsia="Times New Roman" w:hAnsi="Calibri" w:cs="Calibri"/>
                <w:sz w:val="18"/>
                <w:szCs w:val="24"/>
                <w:lang w:eastAsia="tr-TR"/>
              </w:rPr>
              <w:t>Çin</w:t>
            </w:r>
          </w:p>
        </w:tc>
        <w:tc>
          <w:tcPr>
            <w:tcW w:w="611" w:type="dxa"/>
            <w:tcBorders>
              <w:top w:val="nil"/>
              <w:left w:val="nil"/>
              <w:bottom w:val="single" w:sz="4" w:space="0" w:color="auto"/>
              <w:right w:val="single" w:sz="4" w:space="0" w:color="auto"/>
            </w:tcBorders>
            <w:shd w:val="clear" w:color="auto" w:fill="auto"/>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6,8</w:t>
            </w:r>
          </w:p>
        </w:tc>
        <w:tc>
          <w:tcPr>
            <w:tcW w:w="526" w:type="dxa"/>
            <w:tcBorders>
              <w:top w:val="nil"/>
              <w:left w:val="nil"/>
              <w:bottom w:val="single" w:sz="4" w:space="0" w:color="auto"/>
              <w:right w:val="single" w:sz="4" w:space="0" w:color="auto"/>
            </w:tcBorders>
            <w:shd w:val="clear" w:color="auto" w:fill="auto"/>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6,6</w:t>
            </w:r>
          </w:p>
        </w:tc>
        <w:tc>
          <w:tcPr>
            <w:tcW w:w="710"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6,2</w:t>
            </w:r>
          </w:p>
        </w:tc>
        <w:tc>
          <w:tcPr>
            <w:tcW w:w="696"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6,0</w:t>
            </w:r>
          </w:p>
        </w:tc>
        <w:tc>
          <w:tcPr>
            <w:tcW w:w="181" w:type="dxa"/>
            <w:vMerge/>
            <w:tcBorders>
              <w:top w:val="nil"/>
              <w:left w:val="single" w:sz="4" w:space="0" w:color="auto"/>
              <w:bottom w:val="single" w:sz="4" w:space="0" w:color="auto"/>
              <w:right w:val="single" w:sz="4" w:space="0" w:color="auto"/>
            </w:tcBorders>
            <w:vAlign w:val="center"/>
            <w:hideMark/>
          </w:tcPr>
          <w:p w:rsidR="001121C0" w:rsidRPr="00783A93" w:rsidRDefault="001121C0" w:rsidP="00965ACF">
            <w:pPr>
              <w:spacing w:after="0" w:line="240" w:lineRule="auto"/>
              <w:rPr>
                <w:rFonts w:ascii="Calibri" w:eastAsia="Times New Roman" w:hAnsi="Calibri" w:cs="Calibri"/>
                <w:color w:val="000000"/>
                <w:sz w:val="18"/>
                <w:szCs w:val="24"/>
                <w:lang w:eastAsia="tr-TR"/>
              </w:rPr>
            </w:pPr>
          </w:p>
        </w:tc>
        <w:tc>
          <w:tcPr>
            <w:tcW w:w="724" w:type="dxa"/>
            <w:tcBorders>
              <w:top w:val="nil"/>
              <w:left w:val="nil"/>
              <w:bottom w:val="single" w:sz="4" w:space="0" w:color="auto"/>
              <w:right w:val="single" w:sz="4" w:space="0" w:color="auto"/>
            </w:tcBorders>
            <w:shd w:val="clear" w:color="000000" w:fill="E9E9FF"/>
            <w:vAlign w:val="center"/>
            <w:hideMark/>
          </w:tcPr>
          <w:p w:rsidR="001121C0" w:rsidRPr="00783A93" w:rsidRDefault="001121C0" w:rsidP="00965ACF">
            <w:pPr>
              <w:spacing w:after="0" w:line="240" w:lineRule="auto"/>
              <w:jc w:val="center"/>
              <w:rPr>
                <w:rFonts w:ascii="Calibri" w:eastAsia="Times New Roman" w:hAnsi="Calibri" w:cs="Calibri"/>
                <w:sz w:val="18"/>
                <w:szCs w:val="24"/>
                <w:lang w:eastAsia="tr-TR"/>
              </w:rPr>
            </w:pPr>
            <w:r w:rsidRPr="00783A93">
              <w:rPr>
                <w:rFonts w:ascii="Calibri" w:eastAsia="Times New Roman" w:hAnsi="Calibri" w:cs="Calibri"/>
                <w:sz w:val="18"/>
                <w:szCs w:val="24"/>
                <w:lang w:eastAsia="tr-TR"/>
              </w:rPr>
              <w:t>–0.1</w:t>
            </w:r>
          </w:p>
        </w:tc>
        <w:tc>
          <w:tcPr>
            <w:tcW w:w="739" w:type="dxa"/>
            <w:tcBorders>
              <w:top w:val="nil"/>
              <w:left w:val="nil"/>
              <w:bottom w:val="single" w:sz="4" w:space="0" w:color="auto"/>
              <w:right w:val="single" w:sz="4" w:space="0" w:color="auto"/>
            </w:tcBorders>
            <w:shd w:val="clear" w:color="000000" w:fill="E9E9FF"/>
            <w:vAlign w:val="center"/>
            <w:hideMark/>
          </w:tcPr>
          <w:p w:rsidR="001121C0" w:rsidRPr="00783A93" w:rsidRDefault="001121C0" w:rsidP="00965ACF">
            <w:pPr>
              <w:spacing w:after="0" w:line="240" w:lineRule="auto"/>
              <w:jc w:val="center"/>
              <w:rPr>
                <w:rFonts w:ascii="Calibri" w:eastAsia="Times New Roman" w:hAnsi="Calibri" w:cs="Calibri"/>
                <w:sz w:val="18"/>
                <w:szCs w:val="24"/>
                <w:lang w:eastAsia="tr-TR"/>
              </w:rPr>
            </w:pPr>
            <w:r w:rsidRPr="00783A93">
              <w:rPr>
                <w:rFonts w:ascii="Calibri" w:eastAsia="Times New Roman" w:hAnsi="Calibri" w:cs="Calibri"/>
                <w:sz w:val="18"/>
                <w:szCs w:val="24"/>
                <w:lang w:eastAsia="tr-TR"/>
              </w:rPr>
              <w:t>–0.1</w:t>
            </w:r>
          </w:p>
        </w:tc>
      </w:tr>
      <w:tr w:rsidR="001121C0" w:rsidRPr="00783A93" w:rsidTr="00965ACF">
        <w:trPr>
          <w:trHeight w:val="260"/>
          <w:jc w:val="center"/>
        </w:trPr>
        <w:tc>
          <w:tcPr>
            <w:tcW w:w="2870" w:type="dxa"/>
            <w:tcBorders>
              <w:top w:val="nil"/>
              <w:left w:val="single" w:sz="4" w:space="0" w:color="auto"/>
              <w:bottom w:val="single" w:sz="4" w:space="0" w:color="auto"/>
              <w:right w:val="single" w:sz="4" w:space="0" w:color="auto"/>
            </w:tcBorders>
            <w:shd w:val="clear" w:color="auto" w:fill="auto"/>
            <w:vAlign w:val="center"/>
            <w:hideMark/>
          </w:tcPr>
          <w:p w:rsidR="001121C0" w:rsidRPr="00783A93" w:rsidRDefault="001121C0" w:rsidP="00965ACF">
            <w:pPr>
              <w:spacing w:after="0" w:line="240" w:lineRule="auto"/>
              <w:rPr>
                <w:rFonts w:ascii="Calibri" w:eastAsia="Times New Roman" w:hAnsi="Calibri" w:cs="Calibri"/>
                <w:sz w:val="18"/>
                <w:szCs w:val="24"/>
                <w:lang w:eastAsia="tr-TR"/>
              </w:rPr>
            </w:pPr>
            <w:r w:rsidRPr="00783A93">
              <w:rPr>
                <w:rFonts w:ascii="Calibri" w:eastAsia="Times New Roman" w:hAnsi="Calibri" w:cs="Calibri"/>
                <w:sz w:val="18"/>
                <w:szCs w:val="24"/>
                <w:lang w:eastAsia="tr-TR"/>
              </w:rPr>
              <w:t>Hindistan</w:t>
            </w:r>
          </w:p>
        </w:tc>
        <w:tc>
          <w:tcPr>
            <w:tcW w:w="611" w:type="dxa"/>
            <w:tcBorders>
              <w:top w:val="nil"/>
              <w:left w:val="nil"/>
              <w:bottom w:val="single" w:sz="4" w:space="0" w:color="auto"/>
              <w:right w:val="single" w:sz="4" w:space="0" w:color="auto"/>
            </w:tcBorders>
            <w:shd w:val="clear" w:color="auto" w:fill="auto"/>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7,2</w:t>
            </w:r>
          </w:p>
        </w:tc>
        <w:tc>
          <w:tcPr>
            <w:tcW w:w="526" w:type="dxa"/>
            <w:tcBorders>
              <w:top w:val="nil"/>
              <w:left w:val="nil"/>
              <w:bottom w:val="single" w:sz="4" w:space="0" w:color="auto"/>
              <w:right w:val="single" w:sz="4" w:space="0" w:color="auto"/>
            </w:tcBorders>
            <w:shd w:val="clear" w:color="auto" w:fill="auto"/>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6,8</w:t>
            </w:r>
          </w:p>
        </w:tc>
        <w:tc>
          <w:tcPr>
            <w:tcW w:w="710"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7,0</w:t>
            </w:r>
          </w:p>
        </w:tc>
        <w:tc>
          <w:tcPr>
            <w:tcW w:w="696"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7,2</w:t>
            </w:r>
          </w:p>
        </w:tc>
        <w:tc>
          <w:tcPr>
            <w:tcW w:w="181" w:type="dxa"/>
            <w:vMerge/>
            <w:tcBorders>
              <w:top w:val="nil"/>
              <w:left w:val="single" w:sz="4" w:space="0" w:color="auto"/>
              <w:bottom w:val="single" w:sz="4" w:space="0" w:color="auto"/>
              <w:right w:val="single" w:sz="4" w:space="0" w:color="auto"/>
            </w:tcBorders>
            <w:vAlign w:val="center"/>
            <w:hideMark/>
          </w:tcPr>
          <w:p w:rsidR="001121C0" w:rsidRPr="00783A93" w:rsidRDefault="001121C0" w:rsidP="00965ACF">
            <w:pPr>
              <w:spacing w:after="0" w:line="240" w:lineRule="auto"/>
              <w:rPr>
                <w:rFonts w:ascii="Calibri" w:eastAsia="Times New Roman" w:hAnsi="Calibri" w:cs="Calibri"/>
                <w:color w:val="000000"/>
                <w:sz w:val="18"/>
                <w:szCs w:val="24"/>
                <w:lang w:eastAsia="tr-TR"/>
              </w:rPr>
            </w:pPr>
          </w:p>
        </w:tc>
        <w:tc>
          <w:tcPr>
            <w:tcW w:w="724" w:type="dxa"/>
            <w:tcBorders>
              <w:top w:val="nil"/>
              <w:left w:val="nil"/>
              <w:bottom w:val="single" w:sz="4" w:space="0" w:color="auto"/>
              <w:right w:val="single" w:sz="4" w:space="0" w:color="auto"/>
            </w:tcBorders>
            <w:shd w:val="clear" w:color="000000" w:fill="E9E9FF"/>
            <w:vAlign w:val="center"/>
            <w:hideMark/>
          </w:tcPr>
          <w:p w:rsidR="001121C0" w:rsidRPr="00783A93" w:rsidRDefault="001121C0" w:rsidP="00965ACF">
            <w:pPr>
              <w:spacing w:after="0" w:line="240" w:lineRule="auto"/>
              <w:jc w:val="center"/>
              <w:rPr>
                <w:rFonts w:ascii="Calibri" w:eastAsia="Times New Roman" w:hAnsi="Calibri" w:cs="Calibri"/>
                <w:sz w:val="18"/>
                <w:szCs w:val="24"/>
                <w:lang w:eastAsia="tr-TR"/>
              </w:rPr>
            </w:pPr>
            <w:r w:rsidRPr="00783A93">
              <w:rPr>
                <w:rFonts w:ascii="Calibri" w:eastAsia="Times New Roman" w:hAnsi="Calibri" w:cs="Calibri"/>
                <w:sz w:val="18"/>
                <w:szCs w:val="24"/>
                <w:lang w:eastAsia="tr-TR"/>
              </w:rPr>
              <w:t>–0.3</w:t>
            </w:r>
          </w:p>
        </w:tc>
        <w:tc>
          <w:tcPr>
            <w:tcW w:w="739" w:type="dxa"/>
            <w:tcBorders>
              <w:top w:val="nil"/>
              <w:left w:val="nil"/>
              <w:bottom w:val="single" w:sz="4" w:space="0" w:color="auto"/>
              <w:right w:val="single" w:sz="4" w:space="0" w:color="auto"/>
            </w:tcBorders>
            <w:shd w:val="clear" w:color="000000" w:fill="E9E9FF"/>
            <w:vAlign w:val="center"/>
            <w:hideMark/>
          </w:tcPr>
          <w:p w:rsidR="001121C0" w:rsidRPr="00783A93" w:rsidRDefault="001121C0" w:rsidP="00965ACF">
            <w:pPr>
              <w:spacing w:after="0" w:line="240" w:lineRule="auto"/>
              <w:jc w:val="center"/>
              <w:rPr>
                <w:rFonts w:ascii="Calibri" w:eastAsia="Times New Roman" w:hAnsi="Calibri" w:cs="Calibri"/>
                <w:sz w:val="18"/>
                <w:szCs w:val="24"/>
                <w:lang w:eastAsia="tr-TR"/>
              </w:rPr>
            </w:pPr>
            <w:r w:rsidRPr="00783A93">
              <w:rPr>
                <w:rFonts w:ascii="Calibri" w:eastAsia="Times New Roman" w:hAnsi="Calibri" w:cs="Calibri"/>
                <w:sz w:val="18"/>
                <w:szCs w:val="24"/>
                <w:lang w:eastAsia="tr-TR"/>
              </w:rPr>
              <w:t>–0.3</w:t>
            </w:r>
          </w:p>
        </w:tc>
      </w:tr>
      <w:tr w:rsidR="001121C0" w:rsidRPr="00783A93" w:rsidTr="00965ACF">
        <w:trPr>
          <w:trHeight w:val="260"/>
          <w:jc w:val="center"/>
        </w:trPr>
        <w:tc>
          <w:tcPr>
            <w:tcW w:w="2870" w:type="dxa"/>
            <w:tcBorders>
              <w:top w:val="nil"/>
              <w:left w:val="single" w:sz="4" w:space="0" w:color="auto"/>
              <w:bottom w:val="single" w:sz="4" w:space="0" w:color="auto"/>
              <w:right w:val="single" w:sz="4" w:space="0" w:color="auto"/>
            </w:tcBorders>
            <w:shd w:val="clear" w:color="auto" w:fill="auto"/>
            <w:vAlign w:val="center"/>
            <w:hideMark/>
          </w:tcPr>
          <w:p w:rsidR="001121C0" w:rsidRPr="00783A93" w:rsidRDefault="001121C0" w:rsidP="00965ACF">
            <w:pPr>
              <w:spacing w:after="0" w:line="240" w:lineRule="auto"/>
              <w:rPr>
                <w:rFonts w:ascii="Calibri" w:eastAsia="Times New Roman" w:hAnsi="Calibri" w:cs="Calibri"/>
                <w:sz w:val="18"/>
                <w:szCs w:val="24"/>
                <w:lang w:eastAsia="tr-TR"/>
              </w:rPr>
            </w:pPr>
            <w:r w:rsidRPr="00783A93">
              <w:rPr>
                <w:rFonts w:ascii="Calibri" w:eastAsia="Times New Roman" w:hAnsi="Calibri" w:cs="Calibri"/>
                <w:sz w:val="18"/>
                <w:szCs w:val="24"/>
                <w:lang w:eastAsia="tr-TR"/>
              </w:rPr>
              <w:t>ASEAN-5</w:t>
            </w:r>
          </w:p>
        </w:tc>
        <w:tc>
          <w:tcPr>
            <w:tcW w:w="611" w:type="dxa"/>
            <w:tcBorders>
              <w:top w:val="nil"/>
              <w:left w:val="nil"/>
              <w:bottom w:val="single" w:sz="4" w:space="0" w:color="auto"/>
              <w:right w:val="single" w:sz="4" w:space="0" w:color="auto"/>
            </w:tcBorders>
            <w:shd w:val="clear" w:color="auto" w:fill="auto"/>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5,3</w:t>
            </w:r>
          </w:p>
        </w:tc>
        <w:tc>
          <w:tcPr>
            <w:tcW w:w="526" w:type="dxa"/>
            <w:tcBorders>
              <w:top w:val="nil"/>
              <w:left w:val="nil"/>
              <w:bottom w:val="single" w:sz="4" w:space="0" w:color="auto"/>
              <w:right w:val="single" w:sz="4" w:space="0" w:color="auto"/>
            </w:tcBorders>
            <w:shd w:val="clear" w:color="auto" w:fill="auto"/>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5,2</w:t>
            </w:r>
          </w:p>
        </w:tc>
        <w:tc>
          <w:tcPr>
            <w:tcW w:w="710"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5,0</w:t>
            </w:r>
          </w:p>
        </w:tc>
        <w:tc>
          <w:tcPr>
            <w:tcW w:w="696"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5,1</w:t>
            </w:r>
          </w:p>
        </w:tc>
        <w:tc>
          <w:tcPr>
            <w:tcW w:w="181" w:type="dxa"/>
            <w:vMerge/>
            <w:tcBorders>
              <w:top w:val="nil"/>
              <w:left w:val="single" w:sz="4" w:space="0" w:color="auto"/>
              <w:bottom w:val="single" w:sz="4" w:space="0" w:color="auto"/>
              <w:right w:val="single" w:sz="4" w:space="0" w:color="auto"/>
            </w:tcBorders>
            <w:vAlign w:val="center"/>
            <w:hideMark/>
          </w:tcPr>
          <w:p w:rsidR="001121C0" w:rsidRPr="00783A93" w:rsidRDefault="001121C0" w:rsidP="00965ACF">
            <w:pPr>
              <w:spacing w:after="0" w:line="240" w:lineRule="auto"/>
              <w:rPr>
                <w:rFonts w:ascii="Calibri" w:eastAsia="Times New Roman" w:hAnsi="Calibri" w:cs="Calibri"/>
                <w:color w:val="000000"/>
                <w:sz w:val="18"/>
                <w:szCs w:val="24"/>
                <w:lang w:eastAsia="tr-TR"/>
              </w:rPr>
            </w:pPr>
          </w:p>
        </w:tc>
        <w:tc>
          <w:tcPr>
            <w:tcW w:w="724" w:type="dxa"/>
            <w:tcBorders>
              <w:top w:val="nil"/>
              <w:left w:val="nil"/>
              <w:bottom w:val="single" w:sz="4" w:space="0" w:color="auto"/>
              <w:right w:val="single" w:sz="4" w:space="0" w:color="auto"/>
            </w:tcBorders>
            <w:shd w:val="clear" w:color="000000" w:fill="E9E9FF"/>
            <w:vAlign w:val="center"/>
            <w:hideMark/>
          </w:tcPr>
          <w:p w:rsidR="001121C0" w:rsidRPr="00783A93" w:rsidRDefault="001121C0" w:rsidP="00965ACF">
            <w:pPr>
              <w:spacing w:after="0" w:line="240" w:lineRule="auto"/>
              <w:jc w:val="center"/>
              <w:rPr>
                <w:rFonts w:ascii="Calibri" w:eastAsia="Times New Roman" w:hAnsi="Calibri" w:cs="Calibri"/>
                <w:sz w:val="18"/>
                <w:szCs w:val="24"/>
                <w:lang w:eastAsia="tr-TR"/>
              </w:rPr>
            </w:pPr>
            <w:r w:rsidRPr="00783A93">
              <w:rPr>
                <w:rFonts w:ascii="Calibri" w:eastAsia="Times New Roman" w:hAnsi="Calibri" w:cs="Calibri"/>
                <w:sz w:val="18"/>
                <w:szCs w:val="24"/>
                <w:lang w:eastAsia="tr-TR"/>
              </w:rPr>
              <w:t>–0.1</w:t>
            </w:r>
          </w:p>
        </w:tc>
        <w:tc>
          <w:tcPr>
            <w:tcW w:w="739" w:type="dxa"/>
            <w:tcBorders>
              <w:top w:val="nil"/>
              <w:left w:val="nil"/>
              <w:bottom w:val="single" w:sz="4" w:space="0" w:color="auto"/>
              <w:right w:val="single" w:sz="4" w:space="0" w:color="auto"/>
            </w:tcBorders>
            <w:shd w:val="clear" w:color="000000" w:fill="E9E9FF"/>
            <w:vAlign w:val="center"/>
            <w:hideMark/>
          </w:tcPr>
          <w:p w:rsidR="001121C0" w:rsidRPr="00783A93" w:rsidRDefault="001121C0" w:rsidP="00965ACF">
            <w:pPr>
              <w:spacing w:after="0" w:line="240" w:lineRule="auto"/>
              <w:jc w:val="center"/>
              <w:rPr>
                <w:rFonts w:ascii="Calibri" w:eastAsia="Times New Roman" w:hAnsi="Calibri" w:cs="Calibri"/>
                <w:sz w:val="18"/>
                <w:szCs w:val="24"/>
                <w:lang w:eastAsia="tr-TR"/>
              </w:rPr>
            </w:pPr>
            <w:r w:rsidRPr="00783A93">
              <w:rPr>
                <w:rFonts w:ascii="Calibri" w:eastAsia="Times New Roman" w:hAnsi="Calibri" w:cs="Calibri"/>
                <w:sz w:val="18"/>
                <w:szCs w:val="24"/>
                <w:lang w:eastAsia="tr-TR"/>
              </w:rPr>
              <w:t>–0.1</w:t>
            </w:r>
          </w:p>
        </w:tc>
      </w:tr>
      <w:tr w:rsidR="001121C0" w:rsidRPr="00783A93" w:rsidTr="00965ACF">
        <w:trPr>
          <w:trHeight w:val="210"/>
          <w:jc w:val="center"/>
        </w:trPr>
        <w:tc>
          <w:tcPr>
            <w:tcW w:w="2870" w:type="dxa"/>
            <w:tcBorders>
              <w:top w:val="nil"/>
              <w:left w:val="single" w:sz="4" w:space="0" w:color="auto"/>
              <w:bottom w:val="single" w:sz="4" w:space="0" w:color="auto"/>
              <w:right w:val="single" w:sz="4" w:space="0" w:color="auto"/>
            </w:tcBorders>
            <w:shd w:val="clear" w:color="auto" w:fill="auto"/>
            <w:vAlign w:val="center"/>
            <w:hideMark/>
          </w:tcPr>
          <w:p w:rsidR="001121C0" w:rsidRPr="00783A93" w:rsidRDefault="001121C0" w:rsidP="00965ACF">
            <w:pPr>
              <w:spacing w:after="0" w:line="240" w:lineRule="auto"/>
              <w:rPr>
                <w:rFonts w:ascii="Calibri" w:eastAsia="Times New Roman" w:hAnsi="Calibri" w:cs="Calibri"/>
                <w:b/>
                <w:bCs/>
                <w:sz w:val="18"/>
                <w:szCs w:val="24"/>
                <w:lang w:eastAsia="tr-TR"/>
              </w:rPr>
            </w:pPr>
            <w:r w:rsidRPr="00783A93">
              <w:rPr>
                <w:rFonts w:ascii="Calibri" w:eastAsia="Times New Roman" w:hAnsi="Calibri" w:cs="Calibri"/>
                <w:b/>
                <w:bCs/>
                <w:sz w:val="18"/>
                <w:szCs w:val="24"/>
                <w:lang w:eastAsia="tr-TR"/>
              </w:rPr>
              <w:t>Gelişen ve Yükselen Avrupa</w:t>
            </w:r>
          </w:p>
        </w:tc>
        <w:tc>
          <w:tcPr>
            <w:tcW w:w="611" w:type="dxa"/>
            <w:tcBorders>
              <w:top w:val="nil"/>
              <w:left w:val="nil"/>
              <w:bottom w:val="single" w:sz="4" w:space="0" w:color="auto"/>
              <w:right w:val="single" w:sz="4" w:space="0" w:color="auto"/>
            </w:tcBorders>
            <w:shd w:val="clear" w:color="auto" w:fill="auto"/>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6,1</w:t>
            </w:r>
          </w:p>
        </w:tc>
        <w:tc>
          <w:tcPr>
            <w:tcW w:w="526" w:type="dxa"/>
            <w:tcBorders>
              <w:top w:val="nil"/>
              <w:left w:val="nil"/>
              <w:bottom w:val="single" w:sz="4" w:space="0" w:color="auto"/>
              <w:right w:val="single" w:sz="4" w:space="0" w:color="auto"/>
            </w:tcBorders>
            <w:shd w:val="clear" w:color="auto" w:fill="auto"/>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3,6</w:t>
            </w:r>
          </w:p>
        </w:tc>
        <w:tc>
          <w:tcPr>
            <w:tcW w:w="710"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1,0</w:t>
            </w:r>
          </w:p>
        </w:tc>
        <w:tc>
          <w:tcPr>
            <w:tcW w:w="696"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2,3</w:t>
            </w:r>
          </w:p>
        </w:tc>
        <w:tc>
          <w:tcPr>
            <w:tcW w:w="181" w:type="dxa"/>
            <w:vMerge/>
            <w:tcBorders>
              <w:top w:val="nil"/>
              <w:left w:val="single" w:sz="4" w:space="0" w:color="auto"/>
              <w:bottom w:val="single" w:sz="4" w:space="0" w:color="auto"/>
              <w:right w:val="single" w:sz="4" w:space="0" w:color="auto"/>
            </w:tcBorders>
            <w:vAlign w:val="center"/>
            <w:hideMark/>
          </w:tcPr>
          <w:p w:rsidR="001121C0" w:rsidRPr="00783A93" w:rsidRDefault="001121C0" w:rsidP="00965ACF">
            <w:pPr>
              <w:spacing w:after="0" w:line="240" w:lineRule="auto"/>
              <w:rPr>
                <w:rFonts w:ascii="Calibri" w:eastAsia="Times New Roman" w:hAnsi="Calibri" w:cs="Calibri"/>
                <w:color w:val="000000"/>
                <w:sz w:val="18"/>
                <w:szCs w:val="24"/>
                <w:lang w:eastAsia="tr-TR"/>
              </w:rPr>
            </w:pPr>
          </w:p>
        </w:tc>
        <w:tc>
          <w:tcPr>
            <w:tcW w:w="724"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0,2</w:t>
            </w:r>
          </w:p>
        </w:tc>
        <w:tc>
          <w:tcPr>
            <w:tcW w:w="739" w:type="dxa"/>
            <w:tcBorders>
              <w:top w:val="nil"/>
              <w:left w:val="nil"/>
              <w:bottom w:val="single" w:sz="4" w:space="0" w:color="auto"/>
              <w:right w:val="single" w:sz="4" w:space="0" w:color="auto"/>
            </w:tcBorders>
            <w:shd w:val="clear" w:color="000000" w:fill="E9E9FF"/>
            <w:vAlign w:val="center"/>
            <w:hideMark/>
          </w:tcPr>
          <w:p w:rsidR="001121C0" w:rsidRPr="00783A93" w:rsidRDefault="001121C0" w:rsidP="00965ACF">
            <w:pPr>
              <w:spacing w:after="0" w:line="240" w:lineRule="auto"/>
              <w:jc w:val="center"/>
              <w:rPr>
                <w:rFonts w:ascii="Calibri" w:eastAsia="Times New Roman" w:hAnsi="Calibri" w:cs="Calibri"/>
                <w:sz w:val="18"/>
                <w:szCs w:val="24"/>
                <w:lang w:eastAsia="tr-TR"/>
              </w:rPr>
            </w:pPr>
            <w:r w:rsidRPr="00783A93">
              <w:rPr>
                <w:rFonts w:ascii="Calibri" w:eastAsia="Times New Roman" w:hAnsi="Calibri" w:cs="Calibri"/>
                <w:sz w:val="18"/>
                <w:szCs w:val="24"/>
                <w:lang w:eastAsia="tr-TR"/>
              </w:rPr>
              <w:t>–0.5</w:t>
            </w:r>
          </w:p>
        </w:tc>
      </w:tr>
      <w:tr w:rsidR="001121C0" w:rsidRPr="00783A93" w:rsidTr="00965ACF">
        <w:trPr>
          <w:trHeight w:val="260"/>
          <w:jc w:val="center"/>
        </w:trPr>
        <w:tc>
          <w:tcPr>
            <w:tcW w:w="2870" w:type="dxa"/>
            <w:tcBorders>
              <w:top w:val="nil"/>
              <w:left w:val="single" w:sz="4" w:space="0" w:color="auto"/>
              <w:bottom w:val="single" w:sz="4" w:space="0" w:color="auto"/>
              <w:right w:val="single" w:sz="4" w:space="0" w:color="auto"/>
            </w:tcBorders>
            <w:shd w:val="clear" w:color="auto" w:fill="auto"/>
            <w:vAlign w:val="center"/>
            <w:hideMark/>
          </w:tcPr>
          <w:p w:rsidR="001121C0" w:rsidRPr="00783A93" w:rsidRDefault="001121C0" w:rsidP="00965ACF">
            <w:pPr>
              <w:spacing w:after="0" w:line="240" w:lineRule="auto"/>
              <w:rPr>
                <w:rFonts w:ascii="Calibri" w:eastAsia="Times New Roman" w:hAnsi="Calibri" w:cs="Calibri"/>
                <w:sz w:val="18"/>
                <w:szCs w:val="24"/>
                <w:lang w:eastAsia="tr-TR"/>
              </w:rPr>
            </w:pPr>
            <w:r w:rsidRPr="00783A93">
              <w:rPr>
                <w:rFonts w:ascii="Calibri" w:eastAsia="Times New Roman" w:hAnsi="Calibri" w:cs="Calibri"/>
                <w:sz w:val="18"/>
                <w:szCs w:val="24"/>
                <w:lang w:eastAsia="tr-TR"/>
              </w:rPr>
              <w:t>Latin Amerika ve Karayipler</w:t>
            </w:r>
          </w:p>
        </w:tc>
        <w:tc>
          <w:tcPr>
            <w:tcW w:w="611" w:type="dxa"/>
            <w:tcBorders>
              <w:top w:val="nil"/>
              <w:left w:val="nil"/>
              <w:bottom w:val="single" w:sz="4" w:space="0" w:color="auto"/>
              <w:right w:val="single" w:sz="4" w:space="0" w:color="auto"/>
            </w:tcBorders>
            <w:shd w:val="clear" w:color="auto" w:fill="auto"/>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1,2</w:t>
            </w:r>
          </w:p>
        </w:tc>
        <w:tc>
          <w:tcPr>
            <w:tcW w:w="526" w:type="dxa"/>
            <w:tcBorders>
              <w:top w:val="nil"/>
              <w:left w:val="nil"/>
              <w:bottom w:val="single" w:sz="4" w:space="0" w:color="auto"/>
              <w:right w:val="single" w:sz="4" w:space="0" w:color="auto"/>
            </w:tcBorders>
            <w:shd w:val="clear" w:color="auto" w:fill="auto"/>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1,0</w:t>
            </w:r>
          </w:p>
        </w:tc>
        <w:tc>
          <w:tcPr>
            <w:tcW w:w="710"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0,6</w:t>
            </w:r>
          </w:p>
        </w:tc>
        <w:tc>
          <w:tcPr>
            <w:tcW w:w="696"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2,3</w:t>
            </w:r>
          </w:p>
        </w:tc>
        <w:tc>
          <w:tcPr>
            <w:tcW w:w="181" w:type="dxa"/>
            <w:vMerge/>
            <w:tcBorders>
              <w:top w:val="nil"/>
              <w:left w:val="single" w:sz="4" w:space="0" w:color="auto"/>
              <w:bottom w:val="single" w:sz="4" w:space="0" w:color="auto"/>
              <w:right w:val="single" w:sz="4" w:space="0" w:color="auto"/>
            </w:tcBorders>
            <w:vAlign w:val="center"/>
            <w:hideMark/>
          </w:tcPr>
          <w:p w:rsidR="001121C0" w:rsidRPr="00783A93" w:rsidRDefault="001121C0" w:rsidP="00965ACF">
            <w:pPr>
              <w:spacing w:after="0" w:line="240" w:lineRule="auto"/>
              <w:rPr>
                <w:rFonts w:ascii="Calibri" w:eastAsia="Times New Roman" w:hAnsi="Calibri" w:cs="Calibri"/>
                <w:color w:val="000000"/>
                <w:sz w:val="18"/>
                <w:szCs w:val="24"/>
                <w:lang w:eastAsia="tr-TR"/>
              </w:rPr>
            </w:pPr>
          </w:p>
        </w:tc>
        <w:tc>
          <w:tcPr>
            <w:tcW w:w="724" w:type="dxa"/>
            <w:tcBorders>
              <w:top w:val="nil"/>
              <w:left w:val="nil"/>
              <w:bottom w:val="single" w:sz="4" w:space="0" w:color="auto"/>
              <w:right w:val="single" w:sz="4" w:space="0" w:color="auto"/>
            </w:tcBorders>
            <w:shd w:val="clear" w:color="000000" w:fill="E9E9FF"/>
            <w:vAlign w:val="center"/>
            <w:hideMark/>
          </w:tcPr>
          <w:p w:rsidR="001121C0" w:rsidRPr="00783A93" w:rsidRDefault="001121C0" w:rsidP="00965ACF">
            <w:pPr>
              <w:spacing w:after="0" w:line="240" w:lineRule="auto"/>
              <w:jc w:val="center"/>
              <w:rPr>
                <w:rFonts w:ascii="Calibri" w:eastAsia="Times New Roman" w:hAnsi="Calibri" w:cs="Calibri"/>
                <w:sz w:val="18"/>
                <w:szCs w:val="24"/>
                <w:lang w:eastAsia="tr-TR"/>
              </w:rPr>
            </w:pPr>
            <w:r w:rsidRPr="00783A93">
              <w:rPr>
                <w:rFonts w:ascii="Calibri" w:eastAsia="Times New Roman" w:hAnsi="Calibri" w:cs="Calibri"/>
                <w:sz w:val="18"/>
                <w:szCs w:val="24"/>
                <w:lang w:eastAsia="tr-TR"/>
              </w:rPr>
              <w:t>–0.8</w:t>
            </w:r>
          </w:p>
        </w:tc>
        <w:tc>
          <w:tcPr>
            <w:tcW w:w="739" w:type="dxa"/>
            <w:tcBorders>
              <w:top w:val="nil"/>
              <w:left w:val="nil"/>
              <w:bottom w:val="single" w:sz="4" w:space="0" w:color="auto"/>
              <w:right w:val="single" w:sz="4" w:space="0" w:color="auto"/>
            </w:tcBorders>
            <w:shd w:val="clear" w:color="000000" w:fill="E9E9FF"/>
            <w:vAlign w:val="center"/>
            <w:hideMark/>
          </w:tcPr>
          <w:p w:rsidR="001121C0" w:rsidRPr="00783A93" w:rsidRDefault="001121C0" w:rsidP="00965ACF">
            <w:pPr>
              <w:spacing w:after="0" w:line="240" w:lineRule="auto"/>
              <w:jc w:val="center"/>
              <w:rPr>
                <w:rFonts w:ascii="Calibri" w:eastAsia="Times New Roman" w:hAnsi="Calibri" w:cs="Calibri"/>
                <w:sz w:val="18"/>
                <w:szCs w:val="24"/>
                <w:lang w:eastAsia="tr-TR"/>
              </w:rPr>
            </w:pPr>
            <w:r w:rsidRPr="00783A93">
              <w:rPr>
                <w:rFonts w:ascii="Calibri" w:eastAsia="Times New Roman" w:hAnsi="Calibri" w:cs="Calibri"/>
                <w:sz w:val="18"/>
                <w:szCs w:val="24"/>
                <w:lang w:eastAsia="tr-TR"/>
              </w:rPr>
              <w:t>–0.1</w:t>
            </w:r>
          </w:p>
        </w:tc>
      </w:tr>
      <w:tr w:rsidR="001121C0" w:rsidRPr="00783A93" w:rsidTr="00965ACF">
        <w:trPr>
          <w:trHeight w:val="260"/>
          <w:jc w:val="center"/>
        </w:trPr>
        <w:tc>
          <w:tcPr>
            <w:tcW w:w="2870" w:type="dxa"/>
            <w:tcBorders>
              <w:top w:val="nil"/>
              <w:left w:val="single" w:sz="4" w:space="0" w:color="auto"/>
              <w:bottom w:val="single" w:sz="4" w:space="0" w:color="auto"/>
              <w:right w:val="single" w:sz="4" w:space="0" w:color="auto"/>
            </w:tcBorders>
            <w:shd w:val="clear" w:color="auto" w:fill="auto"/>
            <w:vAlign w:val="center"/>
            <w:hideMark/>
          </w:tcPr>
          <w:p w:rsidR="001121C0" w:rsidRPr="00783A93" w:rsidRDefault="001121C0" w:rsidP="00965ACF">
            <w:pPr>
              <w:spacing w:after="0" w:line="240" w:lineRule="auto"/>
              <w:rPr>
                <w:rFonts w:ascii="Calibri" w:eastAsia="Times New Roman" w:hAnsi="Calibri" w:cs="Calibri"/>
                <w:sz w:val="18"/>
                <w:szCs w:val="24"/>
                <w:lang w:eastAsia="tr-TR"/>
              </w:rPr>
            </w:pPr>
            <w:r w:rsidRPr="00783A93">
              <w:rPr>
                <w:rFonts w:ascii="Calibri" w:eastAsia="Times New Roman" w:hAnsi="Calibri" w:cs="Calibri"/>
                <w:sz w:val="18"/>
                <w:szCs w:val="24"/>
                <w:lang w:eastAsia="tr-TR"/>
              </w:rPr>
              <w:t>Brezilya</w:t>
            </w:r>
          </w:p>
        </w:tc>
        <w:tc>
          <w:tcPr>
            <w:tcW w:w="611" w:type="dxa"/>
            <w:tcBorders>
              <w:top w:val="nil"/>
              <w:left w:val="nil"/>
              <w:bottom w:val="single" w:sz="4" w:space="0" w:color="auto"/>
              <w:right w:val="single" w:sz="4" w:space="0" w:color="auto"/>
            </w:tcBorders>
            <w:shd w:val="clear" w:color="auto" w:fill="auto"/>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1,1</w:t>
            </w:r>
          </w:p>
        </w:tc>
        <w:tc>
          <w:tcPr>
            <w:tcW w:w="526" w:type="dxa"/>
            <w:tcBorders>
              <w:top w:val="nil"/>
              <w:left w:val="nil"/>
              <w:bottom w:val="single" w:sz="4" w:space="0" w:color="auto"/>
              <w:right w:val="single" w:sz="4" w:space="0" w:color="auto"/>
            </w:tcBorders>
            <w:shd w:val="clear" w:color="auto" w:fill="auto"/>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1,1</w:t>
            </w:r>
          </w:p>
        </w:tc>
        <w:tc>
          <w:tcPr>
            <w:tcW w:w="710"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0,8</w:t>
            </w:r>
          </w:p>
        </w:tc>
        <w:tc>
          <w:tcPr>
            <w:tcW w:w="696"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2,4</w:t>
            </w:r>
          </w:p>
        </w:tc>
        <w:tc>
          <w:tcPr>
            <w:tcW w:w="181" w:type="dxa"/>
            <w:vMerge/>
            <w:tcBorders>
              <w:top w:val="nil"/>
              <w:left w:val="single" w:sz="4" w:space="0" w:color="auto"/>
              <w:bottom w:val="single" w:sz="4" w:space="0" w:color="auto"/>
              <w:right w:val="single" w:sz="4" w:space="0" w:color="auto"/>
            </w:tcBorders>
            <w:vAlign w:val="center"/>
            <w:hideMark/>
          </w:tcPr>
          <w:p w:rsidR="001121C0" w:rsidRPr="00783A93" w:rsidRDefault="001121C0" w:rsidP="00965ACF">
            <w:pPr>
              <w:spacing w:after="0" w:line="240" w:lineRule="auto"/>
              <w:rPr>
                <w:rFonts w:ascii="Calibri" w:eastAsia="Times New Roman" w:hAnsi="Calibri" w:cs="Calibri"/>
                <w:color w:val="000000"/>
                <w:sz w:val="18"/>
                <w:szCs w:val="24"/>
                <w:lang w:eastAsia="tr-TR"/>
              </w:rPr>
            </w:pPr>
          </w:p>
        </w:tc>
        <w:tc>
          <w:tcPr>
            <w:tcW w:w="724" w:type="dxa"/>
            <w:tcBorders>
              <w:top w:val="nil"/>
              <w:left w:val="nil"/>
              <w:bottom w:val="single" w:sz="4" w:space="0" w:color="auto"/>
              <w:right w:val="single" w:sz="4" w:space="0" w:color="auto"/>
            </w:tcBorders>
            <w:shd w:val="clear" w:color="000000" w:fill="E9E9FF"/>
            <w:vAlign w:val="center"/>
            <w:hideMark/>
          </w:tcPr>
          <w:p w:rsidR="001121C0" w:rsidRPr="00783A93" w:rsidRDefault="001121C0" w:rsidP="00965ACF">
            <w:pPr>
              <w:spacing w:after="0" w:line="240" w:lineRule="auto"/>
              <w:jc w:val="center"/>
              <w:rPr>
                <w:rFonts w:ascii="Calibri" w:eastAsia="Times New Roman" w:hAnsi="Calibri" w:cs="Calibri"/>
                <w:sz w:val="18"/>
                <w:szCs w:val="24"/>
                <w:lang w:eastAsia="tr-TR"/>
              </w:rPr>
            </w:pPr>
            <w:r w:rsidRPr="00783A93">
              <w:rPr>
                <w:rFonts w:ascii="Calibri" w:eastAsia="Times New Roman" w:hAnsi="Calibri" w:cs="Calibri"/>
                <w:sz w:val="18"/>
                <w:szCs w:val="24"/>
                <w:lang w:eastAsia="tr-TR"/>
              </w:rPr>
              <w:t>–1.3</w:t>
            </w:r>
          </w:p>
        </w:tc>
        <w:tc>
          <w:tcPr>
            <w:tcW w:w="739" w:type="dxa"/>
            <w:tcBorders>
              <w:top w:val="nil"/>
              <w:left w:val="nil"/>
              <w:bottom w:val="single" w:sz="4" w:space="0" w:color="auto"/>
              <w:right w:val="single" w:sz="4" w:space="0" w:color="auto"/>
            </w:tcBorders>
            <w:shd w:val="clear" w:color="000000" w:fill="E9E9FF"/>
            <w:vAlign w:val="center"/>
            <w:hideMark/>
          </w:tcPr>
          <w:p w:rsidR="001121C0" w:rsidRPr="00783A93" w:rsidRDefault="001121C0" w:rsidP="00965ACF">
            <w:pPr>
              <w:spacing w:after="0" w:line="240" w:lineRule="auto"/>
              <w:jc w:val="center"/>
              <w:rPr>
                <w:rFonts w:ascii="Calibri" w:eastAsia="Times New Roman" w:hAnsi="Calibri" w:cs="Calibri"/>
                <w:sz w:val="18"/>
                <w:szCs w:val="24"/>
                <w:lang w:eastAsia="tr-TR"/>
              </w:rPr>
            </w:pPr>
            <w:r w:rsidRPr="00783A93">
              <w:rPr>
                <w:rFonts w:ascii="Calibri" w:eastAsia="Times New Roman" w:hAnsi="Calibri" w:cs="Calibri"/>
                <w:sz w:val="18"/>
                <w:szCs w:val="24"/>
                <w:lang w:eastAsia="tr-TR"/>
              </w:rPr>
              <w:t>–0.1</w:t>
            </w:r>
          </w:p>
        </w:tc>
      </w:tr>
      <w:tr w:rsidR="001121C0" w:rsidRPr="00783A93" w:rsidTr="00965ACF">
        <w:trPr>
          <w:trHeight w:val="260"/>
          <w:jc w:val="center"/>
        </w:trPr>
        <w:tc>
          <w:tcPr>
            <w:tcW w:w="2870" w:type="dxa"/>
            <w:tcBorders>
              <w:top w:val="nil"/>
              <w:left w:val="single" w:sz="4" w:space="0" w:color="auto"/>
              <w:bottom w:val="single" w:sz="4" w:space="0" w:color="auto"/>
              <w:right w:val="single" w:sz="4" w:space="0" w:color="auto"/>
            </w:tcBorders>
            <w:shd w:val="clear" w:color="auto" w:fill="auto"/>
            <w:vAlign w:val="center"/>
            <w:hideMark/>
          </w:tcPr>
          <w:p w:rsidR="001121C0" w:rsidRPr="00783A93" w:rsidRDefault="001121C0" w:rsidP="00965ACF">
            <w:pPr>
              <w:spacing w:after="0" w:line="240" w:lineRule="auto"/>
              <w:rPr>
                <w:rFonts w:ascii="Calibri" w:eastAsia="Times New Roman" w:hAnsi="Calibri" w:cs="Calibri"/>
                <w:sz w:val="18"/>
                <w:szCs w:val="24"/>
                <w:lang w:eastAsia="tr-TR"/>
              </w:rPr>
            </w:pPr>
            <w:r w:rsidRPr="00783A93">
              <w:rPr>
                <w:rFonts w:ascii="Calibri" w:eastAsia="Times New Roman" w:hAnsi="Calibri" w:cs="Calibri"/>
                <w:sz w:val="18"/>
                <w:szCs w:val="24"/>
                <w:lang w:eastAsia="tr-TR"/>
              </w:rPr>
              <w:t>Meksika</w:t>
            </w:r>
          </w:p>
        </w:tc>
        <w:tc>
          <w:tcPr>
            <w:tcW w:w="611" w:type="dxa"/>
            <w:tcBorders>
              <w:top w:val="nil"/>
              <w:left w:val="nil"/>
              <w:bottom w:val="single" w:sz="4" w:space="0" w:color="auto"/>
              <w:right w:val="single" w:sz="4" w:space="0" w:color="auto"/>
            </w:tcBorders>
            <w:shd w:val="clear" w:color="auto" w:fill="auto"/>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2,1</w:t>
            </w:r>
          </w:p>
        </w:tc>
        <w:tc>
          <w:tcPr>
            <w:tcW w:w="526" w:type="dxa"/>
            <w:tcBorders>
              <w:top w:val="nil"/>
              <w:left w:val="nil"/>
              <w:bottom w:val="single" w:sz="4" w:space="0" w:color="auto"/>
              <w:right w:val="single" w:sz="4" w:space="0" w:color="auto"/>
            </w:tcBorders>
            <w:shd w:val="clear" w:color="auto" w:fill="auto"/>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2,0</w:t>
            </w:r>
          </w:p>
        </w:tc>
        <w:tc>
          <w:tcPr>
            <w:tcW w:w="710"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0,9</w:t>
            </w:r>
          </w:p>
        </w:tc>
        <w:tc>
          <w:tcPr>
            <w:tcW w:w="696"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1,9</w:t>
            </w:r>
          </w:p>
        </w:tc>
        <w:tc>
          <w:tcPr>
            <w:tcW w:w="181" w:type="dxa"/>
            <w:vMerge/>
            <w:tcBorders>
              <w:top w:val="nil"/>
              <w:left w:val="single" w:sz="4" w:space="0" w:color="auto"/>
              <w:bottom w:val="single" w:sz="4" w:space="0" w:color="auto"/>
              <w:right w:val="single" w:sz="4" w:space="0" w:color="auto"/>
            </w:tcBorders>
            <w:vAlign w:val="center"/>
            <w:hideMark/>
          </w:tcPr>
          <w:p w:rsidR="001121C0" w:rsidRPr="00783A93" w:rsidRDefault="001121C0" w:rsidP="00965ACF">
            <w:pPr>
              <w:spacing w:after="0" w:line="240" w:lineRule="auto"/>
              <w:rPr>
                <w:rFonts w:ascii="Calibri" w:eastAsia="Times New Roman" w:hAnsi="Calibri" w:cs="Calibri"/>
                <w:color w:val="000000"/>
                <w:sz w:val="18"/>
                <w:szCs w:val="24"/>
                <w:lang w:eastAsia="tr-TR"/>
              </w:rPr>
            </w:pPr>
          </w:p>
        </w:tc>
        <w:tc>
          <w:tcPr>
            <w:tcW w:w="724" w:type="dxa"/>
            <w:tcBorders>
              <w:top w:val="nil"/>
              <w:left w:val="nil"/>
              <w:bottom w:val="single" w:sz="4" w:space="0" w:color="auto"/>
              <w:right w:val="single" w:sz="4" w:space="0" w:color="auto"/>
            </w:tcBorders>
            <w:shd w:val="clear" w:color="000000" w:fill="E9E9FF"/>
            <w:vAlign w:val="center"/>
            <w:hideMark/>
          </w:tcPr>
          <w:p w:rsidR="001121C0" w:rsidRPr="00783A93" w:rsidRDefault="001121C0" w:rsidP="00965ACF">
            <w:pPr>
              <w:spacing w:after="0" w:line="240" w:lineRule="auto"/>
              <w:jc w:val="center"/>
              <w:rPr>
                <w:rFonts w:ascii="Calibri" w:eastAsia="Times New Roman" w:hAnsi="Calibri" w:cs="Calibri"/>
                <w:sz w:val="18"/>
                <w:szCs w:val="24"/>
                <w:lang w:eastAsia="tr-TR"/>
              </w:rPr>
            </w:pPr>
            <w:r w:rsidRPr="00783A93">
              <w:rPr>
                <w:rFonts w:ascii="Calibri" w:eastAsia="Times New Roman" w:hAnsi="Calibri" w:cs="Calibri"/>
                <w:sz w:val="18"/>
                <w:szCs w:val="24"/>
                <w:lang w:eastAsia="tr-TR"/>
              </w:rPr>
              <w:t>–0.7</w:t>
            </w:r>
          </w:p>
        </w:tc>
        <w:tc>
          <w:tcPr>
            <w:tcW w:w="739"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0,0</w:t>
            </w:r>
          </w:p>
        </w:tc>
      </w:tr>
      <w:tr w:rsidR="001121C0" w:rsidRPr="00783A93" w:rsidTr="00965ACF">
        <w:trPr>
          <w:trHeight w:val="420"/>
          <w:jc w:val="center"/>
        </w:trPr>
        <w:tc>
          <w:tcPr>
            <w:tcW w:w="2870" w:type="dxa"/>
            <w:tcBorders>
              <w:top w:val="nil"/>
              <w:left w:val="single" w:sz="4" w:space="0" w:color="auto"/>
              <w:bottom w:val="single" w:sz="4" w:space="0" w:color="auto"/>
              <w:right w:val="single" w:sz="4" w:space="0" w:color="auto"/>
            </w:tcBorders>
            <w:shd w:val="clear" w:color="auto" w:fill="auto"/>
            <w:vAlign w:val="center"/>
            <w:hideMark/>
          </w:tcPr>
          <w:p w:rsidR="001121C0" w:rsidRPr="00783A93" w:rsidRDefault="001121C0" w:rsidP="00965ACF">
            <w:pPr>
              <w:spacing w:after="0" w:line="240" w:lineRule="auto"/>
              <w:rPr>
                <w:rFonts w:ascii="Calibri" w:eastAsia="Times New Roman" w:hAnsi="Calibri" w:cs="Calibri"/>
                <w:b/>
                <w:bCs/>
                <w:sz w:val="18"/>
                <w:szCs w:val="24"/>
                <w:lang w:eastAsia="tr-TR"/>
              </w:rPr>
            </w:pPr>
            <w:r w:rsidRPr="00783A93">
              <w:rPr>
                <w:rFonts w:ascii="Calibri" w:eastAsia="Times New Roman" w:hAnsi="Calibri" w:cs="Calibri"/>
                <w:b/>
                <w:bCs/>
                <w:sz w:val="18"/>
                <w:szCs w:val="24"/>
                <w:lang w:eastAsia="tr-TR"/>
              </w:rPr>
              <w:t>Orta Doğu, Kuzey Afrika, Afganistan ve Pakistan</w:t>
            </w:r>
          </w:p>
        </w:tc>
        <w:tc>
          <w:tcPr>
            <w:tcW w:w="611" w:type="dxa"/>
            <w:tcBorders>
              <w:top w:val="nil"/>
              <w:left w:val="nil"/>
              <w:bottom w:val="single" w:sz="4" w:space="0" w:color="auto"/>
              <w:right w:val="single" w:sz="4" w:space="0" w:color="auto"/>
            </w:tcBorders>
            <w:shd w:val="clear" w:color="auto" w:fill="auto"/>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2,1</w:t>
            </w:r>
          </w:p>
        </w:tc>
        <w:tc>
          <w:tcPr>
            <w:tcW w:w="526" w:type="dxa"/>
            <w:tcBorders>
              <w:top w:val="nil"/>
              <w:left w:val="nil"/>
              <w:bottom w:val="single" w:sz="4" w:space="0" w:color="auto"/>
              <w:right w:val="single" w:sz="4" w:space="0" w:color="auto"/>
            </w:tcBorders>
            <w:shd w:val="clear" w:color="auto" w:fill="auto"/>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1,6</w:t>
            </w:r>
          </w:p>
        </w:tc>
        <w:tc>
          <w:tcPr>
            <w:tcW w:w="710"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1,0</w:t>
            </w:r>
          </w:p>
        </w:tc>
        <w:tc>
          <w:tcPr>
            <w:tcW w:w="696"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3,0</w:t>
            </w:r>
          </w:p>
        </w:tc>
        <w:tc>
          <w:tcPr>
            <w:tcW w:w="181" w:type="dxa"/>
            <w:vMerge/>
            <w:tcBorders>
              <w:top w:val="nil"/>
              <w:left w:val="single" w:sz="4" w:space="0" w:color="auto"/>
              <w:bottom w:val="single" w:sz="4" w:space="0" w:color="auto"/>
              <w:right w:val="single" w:sz="4" w:space="0" w:color="auto"/>
            </w:tcBorders>
            <w:vAlign w:val="center"/>
            <w:hideMark/>
          </w:tcPr>
          <w:p w:rsidR="001121C0" w:rsidRPr="00783A93" w:rsidRDefault="001121C0" w:rsidP="00965ACF">
            <w:pPr>
              <w:spacing w:after="0" w:line="240" w:lineRule="auto"/>
              <w:rPr>
                <w:rFonts w:ascii="Calibri" w:eastAsia="Times New Roman" w:hAnsi="Calibri" w:cs="Calibri"/>
                <w:color w:val="000000"/>
                <w:sz w:val="18"/>
                <w:szCs w:val="24"/>
                <w:lang w:eastAsia="tr-TR"/>
              </w:rPr>
            </w:pPr>
          </w:p>
        </w:tc>
        <w:tc>
          <w:tcPr>
            <w:tcW w:w="724" w:type="dxa"/>
            <w:tcBorders>
              <w:top w:val="nil"/>
              <w:left w:val="nil"/>
              <w:bottom w:val="single" w:sz="4" w:space="0" w:color="auto"/>
              <w:right w:val="single" w:sz="4" w:space="0" w:color="auto"/>
            </w:tcBorders>
            <w:shd w:val="clear" w:color="000000" w:fill="E9E9FF"/>
            <w:vAlign w:val="center"/>
            <w:hideMark/>
          </w:tcPr>
          <w:p w:rsidR="001121C0" w:rsidRPr="00783A93" w:rsidRDefault="001121C0" w:rsidP="00965ACF">
            <w:pPr>
              <w:spacing w:after="0" w:line="240" w:lineRule="auto"/>
              <w:jc w:val="center"/>
              <w:rPr>
                <w:rFonts w:ascii="Calibri" w:eastAsia="Times New Roman" w:hAnsi="Calibri" w:cs="Calibri"/>
                <w:sz w:val="18"/>
                <w:szCs w:val="24"/>
                <w:lang w:eastAsia="tr-TR"/>
              </w:rPr>
            </w:pPr>
            <w:r w:rsidRPr="00783A93">
              <w:rPr>
                <w:rFonts w:ascii="Calibri" w:eastAsia="Times New Roman" w:hAnsi="Calibri" w:cs="Calibri"/>
                <w:sz w:val="18"/>
                <w:szCs w:val="24"/>
                <w:lang w:eastAsia="tr-TR"/>
              </w:rPr>
              <w:t>–0.5</w:t>
            </w:r>
          </w:p>
        </w:tc>
        <w:tc>
          <w:tcPr>
            <w:tcW w:w="739" w:type="dxa"/>
            <w:tcBorders>
              <w:top w:val="nil"/>
              <w:left w:val="nil"/>
              <w:bottom w:val="single" w:sz="4" w:space="0" w:color="auto"/>
              <w:right w:val="single" w:sz="4" w:space="0" w:color="auto"/>
            </w:tcBorders>
            <w:shd w:val="clear" w:color="000000" w:fill="E9E9FF"/>
            <w:vAlign w:val="center"/>
            <w:hideMark/>
          </w:tcPr>
          <w:p w:rsidR="001121C0" w:rsidRPr="00783A93" w:rsidRDefault="001121C0" w:rsidP="00965ACF">
            <w:pPr>
              <w:spacing w:after="0" w:line="240" w:lineRule="auto"/>
              <w:jc w:val="center"/>
              <w:rPr>
                <w:rFonts w:ascii="Calibri" w:eastAsia="Times New Roman" w:hAnsi="Calibri" w:cs="Calibri"/>
                <w:sz w:val="18"/>
                <w:szCs w:val="24"/>
                <w:lang w:eastAsia="tr-TR"/>
              </w:rPr>
            </w:pPr>
            <w:r w:rsidRPr="00783A93">
              <w:rPr>
                <w:rFonts w:ascii="Calibri" w:eastAsia="Times New Roman" w:hAnsi="Calibri" w:cs="Calibri"/>
                <w:sz w:val="18"/>
                <w:szCs w:val="24"/>
                <w:lang w:eastAsia="tr-TR"/>
              </w:rPr>
              <w:t>–0.2</w:t>
            </w:r>
          </w:p>
        </w:tc>
      </w:tr>
      <w:tr w:rsidR="001121C0" w:rsidRPr="00783A93" w:rsidTr="00965ACF">
        <w:trPr>
          <w:trHeight w:val="250"/>
          <w:jc w:val="center"/>
        </w:trPr>
        <w:tc>
          <w:tcPr>
            <w:tcW w:w="2870" w:type="dxa"/>
            <w:tcBorders>
              <w:top w:val="nil"/>
              <w:left w:val="single" w:sz="4" w:space="0" w:color="auto"/>
              <w:bottom w:val="single" w:sz="4" w:space="0" w:color="auto"/>
              <w:right w:val="single" w:sz="4" w:space="0" w:color="auto"/>
            </w:tcBorders>
            <w:shd w:val="clear" w:color="auto" w:fill="auto"/>
            <w:vAlign w:val="center"/>
            <w:hideMark/>
          </w:tcPr>
          <w:p w:rsidR="001121C0" w:rsidRPr="00783A93" w:rsidRDefault="001121C0" w:rsidP="00965ACF">
            <w:pPr>
              <w:spacing w:after="0" w:line="240" w:lineRule="auto"/>
              <w:rPr>
                <w:rFonts w:ascii="Calibri" w:eastAsia="Times New Roman" w:hAnsi="Calibri" w:cs="Calibri"/>
                <w:sz w:val="18"/>
                <w:szCs w:val="24"/>
                <w:lang w:eastAsia="tr-TR"/>
              </w:rPr>
            </w:pPr>
            <w:r w:rsidRPr="00783A93">
              <w:rPr>
                <w:rFonts w:ascii="Calibri" w:eastAsia="Times New Roman" w:hAnsi="Calibri" w:cs="Calibri"/>
                <w:sz w:val="18"/>
                <w:szCs w:val="24"/>
                <w:lang w:eastAsia="tr-TR"/>
              </w:rPr>
              <w:t>Suudi Arabistan</w:t>
            </w:r>
          </w:p>
        </w:tc>
        <w:tc>
          <w:tcPr>
            <w:tcW w:w="611" w:type="dxa"/>
            <w:tcBorders>
              <w:top w:val="nil"/>
              <w:left w:val="nil"/>
              <w:bottom w:val="single" w:sz="4" w:space="0" w:color="auto"/>
              <w:right w:val="single" w:sz="4" w:space="0" w:color="auto"/>
            </w:tcBorders>
            <w:shd w:val="clear" w:color="auto" w:fill="auto"/>
            <w:vAlign w:val="center"/>
            <w:hideMark/>
          </w:tcPr>
          <w:p w:rsidR="001121C0" w:rsidRPr="00783A93" w:rsidRDefault="001121C0" w:rsidP="00965ACF">
            <w:pPr>
              <w:spacing w:after="0" w:line="240" w:lineRule="auto"/>
              <w:jc w:val="center"/>
              <w:rPr>
                <w:rFonts w:ascii="Calibri" w:eastAsia="Times New Roman" w:hAnsi="Calibri" w:cs="Calibri"/>
                <w:sz w:val="18"/>
                <w:szCs w:val="24"/>
                <w:lang w:eastAsia="tr-TR"/>
              </w:rPr>
            </w:pPr>
            <w:r w:rsidRPr="00783A93">
              <w:rPr>
                <w:rFonts w:ascii="Calibri" w:eastAsia="Times New Roman" w:hAnsi="Calibri" w:cs="Calibri"/>
                <w:sz w:val="18"/>
                <w:szCs w:val="24"/>
                <w:lang w:eastAsia="tr-TR"/>
              </w:rPr>
              <w:t>–0.7</w:t>
            </w:r>
          </w:p>
        </w:tc>
        <w:tc>
          <w:tcPr>
            <w:tcW w:w="526" w:type="dxa"/>
            <w:tcBorders>
              <w:top w:val="nil"/>
              <w:left w:val="nil"/>
              <w:bottom w:val="single" w:sz="4" w:space="0" w:color="auto"/>
              <w:right w:val="single" w:sz="4" w:space="0" w:color="auto"/>
            </w:tcBorders>
            <w:shd w:val="clear" w:color="auto" w:fill="auto"/>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2,2</w:t>
            </w:r>
          </w:p>
        </w:tc>
        <w:tc>
          <w:tcPr>
            <w:tcW w:w="710"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1,9</w:t>
            </w:r>
          </w:p>
        </w:tc>
        <w:tc>
          <w:tcPr>
            <w:tcW w:w="696"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3,0</w:t>
            </w:r>
          </w:p>
        </w:tc>
        <w:tc>
          <w:tcPr>
            <w:tcW w:w="181" w:type="dxa"/>
            <w:vMerge/>
            <w:tcBorders>
              <w:top w:val="nil"/>
              <w:left w:val="single" w:sz="4" w:space="0" w:color="auto"/>
              <w:bottom w:val="single" w:sz="4" w:space="0" w:color="auto"/>
              <w:right w:val="single" w:sz="4" w:space="0" w:color="auto"/>
            </w:tcBorders>
            <w:vAlign w:val="center"/>
            <w:hideMark/>
          </w:tcPr>
          <w:p w:rsidR="001121C0" w:rsidRPr="00783A93" w:rsidRDefault="001121C0" w:rsidP="00965ACF">
            <w:pPr>
              <w:spacing w:after="0" w:line="240" w:lineRule="auto"/>
              <w:rPr>
                <w:rFonts w:ascii="Calibri" w:eastAsia="Times New Roman" w:hAnsi="Calibri" w:cs="Calibri"/>
                <w:color w:val="000000"/>
                <w:sz w:val="18"/>
                <w:szCs w:val="24"/>
                <w:lang w:eastAsia="tr-TR"/>
              </w:rPr>
            </w:pPr>
          </w:p>
        </w:tc>
        <w:tc>
          <w:tcPr>
            <w:tcW w:w="724"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0,1</w:t>
            </w:r>
          </w:p>
        </w:tc>
        <w:tc>
          <w:tcPr>
            <w:tcW w:w="739"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0,9</w:t>
            </w:r>
          </w:p>
        </w:tc>
      </w:tr>
      <w:tr w:rsidR="001121C0" w:rsidRPr="00783A93" w:rsidTr="00965ACF">
        <w:trPr>
          <w:trHeight w:val="250"/>
          <w:jc w:val="center"/>
        </w:trPr>
        <w:tc>
          <w:tcPr>
            <w:tcW w:w="2870" w:type="dxa"/>
            <w:tcBorders>
              <w:top w:val="nil"/>
              <w:left w:val="single" w:sz="4" w:space="0" w:color="auto"/>
              <w:bottom w:val="single" w:sz="4" w:space="0" w:color="auto"/>
              <w:right w:val="single" w:sz="4" w:space="0" w:color="auto"/>
            </w:tcBorders>
            <w:shd w:val="clear" w:color="auto" w:fill="auto"/>
            <w:vAlign w:val="center"/>
            <w:hideMark/>
          </w:tcPr>
          <w:p w:rsidR="001121C0" w:rsidRPr="00783A93" w:rsidRDefault="001121C0" w:rsidP="00965ACF">
            <w:pPr>
              <w:spacing w:after="0" w:line="240" w:lineRule="auto"/>
              <w:rPr>
                <w:rFonts w:ascii="Calibri" w:eastAsia="Times New Roman" w:hAnsi="Calibri" w:cs="Calibri"/>
                <w:b/>
                <w:bCs/>
                <w:sz w:val="18"/>
                <w:szCs w:val="24"/>
                <w:lang w:eastAsia="tr-TR"/>
              </w:rPr>
            </w:pPr>
            <w:r w:rsidRPr="00783A93">
              <w:rPr>
                <w:rFonts w:ascii="Calibri" w:eastAsia="Times New Roman" w:hAnsi="Calibri" w:cs="Calibri"/>
                <w:b/>
                <w:bCs/>
                <w:sz w:val="18"/>
                <w:szCs w:val="24"/>
                <w:lang w:eastAsia="tr-TR"/>
              </w:rPr>
              <w:t>Sahra-altı Afrika</w:t>
            </w:r>
          </w:p>
        </w:tc>
        <w:tc>
          <w:tcPr>
            <w:tcW w:w="611" w:type="dxa"/>
            <w:tcBorders>
              <w:top w:val="nil"/>
              <w:left w:val="nil"/>
              <w:bottom w:val="single" w:sz="4" w:space="0" w:color="auto"/>
              <w:right w:val="single" w:sz="4" w:space="0" w:color="auto"/>
            </w:tcBorders>
            <w:shd w:val="clear" w:color="auto" w:fill="auto"/>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2,9</w:t>
            </w:r>
          </w:p>
        </w:tc>
        <w:tc>
          <w:tcPr>
            <w:tcW w:w="526" w:type="dxa"/>
            <w:tcBorders>
              <w:top w:val="nil"/>
              <w:left w:val="nil"/>
              <w:bottom w:val="single" w:sz="4" w:space="0" w:color="auto"/>
              <w:right w:val="single" w:sz="4" w:space="0" w:color="auto"/>
            </w:tcBorders>
            <w:shd w:val="clear" w:color="auto" w:fill="auto"/>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3,1</w:t>
            </w:r>
          </w:p>
        </w:tc>
        <w:tc>
          <w:tcPr>
            <w:tcW w:w="710"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3,4</w:t>
            </w:r>
          </w:p>
        </w:tc>
        <w:tc>
          <w:tcPr>
            <w:tcW w:w="696"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3,6</w:t>
            </w:r>
          </w:p>
        </w:tc>
        <w:tc>
          <w:tcPr>
            <w:tcW w:w="181" w:type="dxa"/>
            <w:vMerge/>
            <w:tcBorders>
              <w:top w:val="nil"/>
              <w:left w:val="single" w:sz="4" w:space="0" w:color="auto"/>
              <w:bottom w:val="single" w:sz="4" w:space="0" w:color="auto"/>
              <w:right w:val="single" w:sz="4" w:space="0" w:color="auto"/>
            </w:tcBorders>
            <w:vAlign w:val="center"/>
            <w:hideMark/>
          </w:tcPr>
          <w:p w:rsidR="001121C0" w:rsidRPr="00783A93" w:rsidRDefault="001121C0" w:rsidP="00965ACF">
            <w:pPr>
              <w:spacing w:after="0" w:line="240" w:lineRule="auto"/>
              <w:rPr>
                <w:rFonts w:ascii="Calibri" w:eastAsia="Times New Roman" w:hAnsi="Calibri" w:cs="Calibri"/>
                <w:color w:val="000000"/>
                <w:sz w:val="18"/>
                <w:szCs w:val="24"/>
                <w:lang w:eastAsia="tr-TR"/>
              </w:rPr>
            </w:pPr>
          </w:p>
        </w:tc>
        <w:tc>
          <w:tcPr>
            <w:tcW w:w="724" w:type="dxa"/>
            <w:tcBorders>
              <w:top w:val="nil"/>
              <w:left w:val="nil"/>
              <w:bottom w:val="single" w:sz="4" w:space="0" w:color="auto"/>
              <w:right w:val="single" w:sz="4" w:space="0" w:color="auto"/>
            </w:tcBorders>
            <w:shd w:val="clear" w:color="000000" w:fill="E9E9FF"/>
            <w:vAlign w:val="center"/>
            <w:hideMark/>
          </w:tcPr>
          <w:p w:rsidR="001121C0" w:rsidRPr="00783A93" w:rsidRDefault="001121C0" w:rsidP="00965ACF">
            <w:pPr>
              <w:spacing w:after="0" w:line="240" w:lineRule="auto"/>
              <w:jc w:val="center"/>
              <w:rPr>
                <w:rFonts w:ascii="Calibri" w:eastAsia="Times New Roman" w:hAnsi="Calibri" w:cs="Calibri"/>
                <w:sz w:val="18"/>
                <w:szCs w:val="24"/>
                <w:lang w:eastAsia="tr-TR"/>
              </w:rPr>
            </w:pPr>
            <w:r w:rsidRPr="00783A93">
              <w:rPr>
                <w:rFonts w:ascii="Calibri" w:eastAsia="Times New Roman" w:hAnsi="Calibri" w:cs="Calibri"/>
                <w:sz w:val="18"/>
                <w:szCs w:val="24"/>
                <w:lang w:eastAsia="tr-TR"/>
              </w:rPr>
              <w:t>–0.1</w:t>
            </w:r>
          </w:p>
        </w:tc>
        <w:tc>
          <w:tcPr>
            <w:tcW w:w="739" w:type="dxa"/>
            <w:tcBorders>
              <w:top w:val="nil"/>
              <w:left w:val="nil"/>
              <w:bottom w:val="single" w:sz="4" w:space="0" w:color="auto"/>
              <w:right w:val="single" w:sz="4" w:space="0" w:color="auto"/>
            </w:tcBorders>
            <w:shd w:val="clear" w:color="000000" w:fill="E9E9FF"/>
            <w:vAlign w:val="center"/>
            <w:hideMark/>
          </w:tcPr>
          <w:p w:rsidR="001121C0" w:rsidRPr="00783A93" w:rsidRDefault="001121C0" w:rsidP="00965ACF">
            <w:pPr>
              <w:spacing w:after="0" w:line="240" w:lineRule="auto"/>
              <w:jc w:val="center"/>
              <w:rPr>
                <w:rFonts w:ascii="Calibri" w:eastAsia="Times New Roman" w:hAnsi="Calibri" w:cs="Calibri"/>
                <w:sz w:val="18"/>
                <w:szCs w:val="24"/>
                <w:lang w:eastAsia="tr-TR"/>
              </w:rPr>
            </w:pPr>
            <w:r w:rsidRPr="00783A93">
              <w:rPr>
                <w:rFonts w:ascii="Calibri" w:eastAsia="Times New Roman" w:hAnsi="Calibri" w:cs="Calibri"/>
                <w:sz w:val="18"/>
                <w:szCs w:val="24"/>
                <w:lang w:eastAsia="tr-TR"/>
              </w:rPr>
              <w:t>–0.1</w:t>
            </w:r>
          </w:p>
        </w:tc>
      </w:tr>
      <w:tr w:rsidR="001121C0" w:rsidRPr="00783A93" w:rsidTr="00965ACF">
        <w:trPr>
          <w:trHeight w:val="260"/>
          <w:jc w:val="center"/>
        </w:trPr>
        <w:tc>
          <w:tcPr>
            <w:tcW w:w="2870" w:type="dxa"/>
            <w:tcBorders>
              <w:top w:val="nil"/>
              <w:left w:val="single" w:sz="4" w:space="0" w:color="auto"/>
              <w:bottom w:val="single" w:sz="4" w:space="0" w:color="auto"/>
              <w:right w:val="single" w:sz="4" w:space="0" w:color="auto"/>
            </w:tcBorders>
            <w:shd w:val="clear" w:color="auto" w:fill="auto"/>
            <w:vAlign w:val="center"/>
            <w:hideMark/>
          </w:tcPr>
          <w:p w:rsidR="001121C0" w:rsidRPr="00783A93" w:rsidRDefault="001121C0" w:rsidP="00965ACF">
            <w:pPr>
              <w:spacing w:after="0" w:line="240" w:lineRule="auto"/>
              <w:rPr>
                <w:rFonts w:ascii="Calibri" w:eastAsia="Times New Roman" w:hAnsi="Calibri" w:cs="Calibri"/>
                <w:sz w:val="18"/>
                <w:szCs w:val="24"/>
                <w:lang w:eastAsia="tr-TR"/>
              </w:rPr>
            </w:pPr>
            <w:r w:rsidRPr="00783A93">
              <w:rPr>
                <w:rFonts w:ascii="Calibri" w:eastAsia="Times New Roman" w:hAnsi="Calibri" w:cs="Calibri"/>
                <w:sz w:val="18"/>
                <w:szCs w:val="24"/>
                <w:lang w:eastAsia="tr-TR"/>
              </w:rPr>
              <w:t>Nijerya</w:t>
            </w:r>
          </w:p>
        </w:tc>
        <w:tc>
          <w:tcPr>
            <w:tcW w:w="611" w:type="dxa"/>
            <w:tcBorders>
              <w:top w:val="nil"/>
              <w:left w:val="nil"/>
              <w:bottom w:val="single" w:sz="4" w:space="0" w:color="auto"/>
              <w:right w:val="single" w:sz="4" w:space="0" w:color="auto"/>
            </w:tcBorders>
            <w:shd w:val="clear" w:color="auto" w:fill="auto"/>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0,8</w:t>
            </w:r>
          </w:p>
        </w:tc>
        <w:tc>
          <w:tcPr>
            <w:tcW w:w="526" w:type="dxa"/>
            <w:tcBorders>
              <w:top w:val="nil"/>
              <w:left w:val="nil"/>
              <w:bottom w:val="single" w:sz="4" w:space="0" w:color="auto"/>
              <w:right w:val="single" w:sz="4" w:space="0" w:color="auto"/>
            </w:tcBorders>
            <w:shd w:val="clear" w:color="auto" w:fill="auto"/>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1,9</w:t>
            </w:r>
          </w:p>
        </w:tc>
        <w:tc>
          <w:tcPr>
            <w:tcW w:w="710"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2,3</w:t>
            </w:r>
          </w:p>
        </w:tc>
        <w:tc>
          <w:tcPr>
            <w:tcW w:w="696"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2,6</w:t>
            </w:r>
          </w:p>
        </w:tc>
        <w:tc>
          <w:tcPr>
            <w:tcW w:w="181" w:type="dxa"/>
            <w:vMerge/>
            <w:tcBorders>
              <w:top w:val="nil"/>
              <w:left w:val="single" w:sz="4" w:space="0" w:color="auto"/>
              <w:bottom w:val="single" w:sz="4" w:space="0" w:color="auto"/>
              <w:right w:val="single" w:sz="4" w:space="0" w:color="auto"/>
            </w:tcBorders>
            <w:vAlign w:val="center"/>
            <w:hideMark/>
          </w:tcPr>
          <w:p w:rsidR="001121C0" w:rsidRPr="00783A93" w:rsidRDefault="001121C0" w:rsidP="00965ACF">
            <w:pPr>
              <w:spacing w:after="0" w:line="240" w:lineRule="auto"/>
              <w:rPr>
                <w:rFonts w:ascii="Calibri" w:eastAsia="Times New Roman" w:hAnsi="Calibri" w:cs="Calibri"/>
                <w:color w:val="000000"/>
                <w:sz w:val="18"/>
                <w:szCs w:val="24"/>
                <w:lang w:eastAsia="tr-TR"/>
              </w:rPr>
            </w:pPr>
          </w:p>
        </w:tc>
        <w:tc>
          <w:tcPr>
            <w:tcW w:w="724"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0,2</w:t>
            </w:r>
          </w:p>
        </w:tc>
        <w:tc>
          <w:tcPr>
            <w:tcW w:w="739"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0,1</w:t>
            </w:r>
          </w:p>
        </w:tc>
      </w:tr>
      <w:tr w:rsidR="001121C0" w:rsidRPr="00783A93" w:rsidTr="00965ACF">
        <w:trPr>
          <w:trHeight w:val="260"/>
          <w:jc w:val="center"/>
        </w:trPr>
        <w:tc>
          <w:tcPr>
            <w:tcW w:w="2870" w:type="dxa"/>
            <w:tcBorders>
              <w:top w:val="nil"/>
              <w:left w:val="single" w:sz="4" w:space="0" w:color="auto"/>
              <w:bottom w:val="single" w:sz="4" w:space="0" w:color="auto"/>
              <w:right w:val="single" w:sz="4" w:space="0" w:color="auto"/>
            </w:tcBorders>
            <w:shd w:val="clear" w:color="auto" w:fill="auto"/>
            <w:vAlign w:val="center"/>
            <w:hideMark/>
          </w:tcPr>
          <w:p w:rsidR="001121C0" w:rsidRPr="00783A93" w:rsidRDefault="001121C0" w:rsidP="00965ACF">
            <w:pPr>
              <w:spacing w:after="0" w:line="240" w:lineRule="auto"/>
              <w:rPr>
                <w:rFonts w:ascii="Calibri" w:eastAsia="Times New Roman" w:hAnsi="Calibri" w:cs="Calibri"/>
                <w:sz w:val="18"/>
                <w:szCs w:val="24"/>
                <w:lang w:eastAsia="tr-TR"/>
              </w:rPr>
            </w:pPr>
            <w:r w:rsidRPr="00783A93">
              <w:rPr>
                <w:rFonts w:ascii="Calibri" w:eastAsia="Times New Roman" w:hAnsi="Calibri" w:cs="Calibri"/>
                <w:sz w:val="18"/>
                <w:szCs w:val="24"/>
                <w:lang w:eastAsia="tr-TR"/>
              </w:rPr>
              <w:t>Güney Afrika</w:t>
            </w:r>
          </w:p>
        </w:tc>
        <w:tc>
          <w:tcPr>
            <w:tcW w:w="611" w:type="dxa"/>
            <w:tcBorders>
              <w:top w:val="nil"/>
              <w:left w:val="nil"/>
              <w:bottom w:val="single" w:sz="4" w:space="0" w:color="auto"/>
              <w:right w:val="single" w:sz="4" w:space="0" w:color="auto"/>
            </w:tcBorders>
            <w:shd w:val="clear" w:color="auto" w:fill="auto"/>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1,4</w:t>
            </w:r>
          </w:p>
        </w:tc>
        <w:tc>
          <w:tcPr>
            <w:tcW w:w="526" w:type="dxa"/>
            <w:tcBorders>
              <w:top w:val="nil"/>
              <w:left w:val="nil"/>
              <w:bottom w:val="single" w:sz="4" w:space="0" w:color="auto"/>
              <w:right w:val="single" w:sz="4" w:space="0" w:color="auto"/>
            </w:tcBorders>
            <w:shd w:val="clear" w:color="auto" w:fill="auto"/>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0,8</w:t>
            </w:r>
          </w:p>
        </w:tc>
        <w:tc>
          <w:tcPr>
            <w:tcW w:w="710"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0,7</w:t>
            </w:r>
          </w:p>
        </w:tc>
        <w:tc>
          <w:tcPr>
            <w:tcW w:w="696"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1,1</w:t>
            </w:r>
          </w:p>
        </w:tc>
        <w:tc>
          <w:tcPr>
            <w:tcW w:w="181" w:type="dxa"/>
            <w:vMerge/>
            <w:tcBorders>
              <w:top w:val="nil"/>
              <w:left w:val="single" w:sz="4" w:space="0" w:color="auto"/>
              <w:bottom w:val="single" w:sz="4" w:space="0" w:color="auto"/>
              <w:right w:val="single" w:sz="4" w:space="0" w:color="auto"/>
            </w:tcBorders>
            <w:vAlign w:val="center"/>
            <w:hideMark/>
          </w:tcPr>
          <w:p w:rsidR="001121C0" w:rsidRPr="00783A93" w:rsidRDefault="001121C0" w:rsidP="00965ACF">
            <w:pPr>
              <w:spacing w:after="0" w:line="240" w:lineRule="auto"/>
              <w:rPr>
                <w:rFonts w:ascii="Calibri" w:eastAsia="Times New Roman" w:hAnsi="Calibri" w:cs="Calibri"/>
                <w:color w:val="000000"/>
                <w:sz w:val="18"/>
                <w:szCs w:val="24"/>
                <w:lang w:eastAsia="tr-TR"/>
              </w:rPr>
            </w:pPr>
          </w:p>
        </w:tc>
        <w:tc>
          <w:tcPr>
            <w:tcW w:w="724" w:type="dxa"/>
            <w:tcBorders>
              <w:top w:val="nil"/>
              <w:left w:val="nil"/>
              <w:bottom w:val="single" w:sz="4" w:space="0" w:color="auto"/>
              <w:right w:val="single" w:sz="4" w:space="0" w:color="auto"/>
            </w:tcBorders>
            <w:shd w:val="clear" w:color="000000" w:fill="E9E9FF"/>
            <w:vAlign w:val="center"/>
            <w:hideMark/>
          </w:tcPr>
          <w:p w:rsidR="001121C0" w:rsidRPr="00783A93" w:rsidRDefault="001121C0" w:rsidP="00965ACF">
            <w:pPr>
              <w:spacing w:after="0" w:line="240" w:lineRule="auto"/>
              <w:jc w:val="center"/>
              <w:rPr>
                <w:rFonts w:ascii="Calibri" w:eastAsia="Times New Roman" w:hAnsi="Calibri" w:cs="Calibri"/>
                <w:sz w:val="18"/>
                <w:szCs w:val="24"/>
                <w:lang w:eastAsia="tr-TR"/>
              </w:rPr>
            </w:pPr>
            <w:r w:rsidRPr="00783A93">
              <w:rPr>
                <w:rFonts w:ascii="Calibri" w:eastAsia="Times New Roman" w:hAnsi="Calibri" w:cs="Calibri"/>
                <w:sz w:val="18"/>
                <w:szCs w:val="24"/>
                <w:lang w:eastAsia="tr-TR"/>
              </w:rPr>
              <w:t>–0.5</w:t>
            </w:r>
          </w:p>
        </w:tc>
        <w:tc>
          <w:tcPr>
            <w:tcW w:w="739" w:type="dxa"/>
            <w:tcBorders>
              <w:top w:val="nil"/>
              <w:left w:val="nil"/>
              <w:bottom w:val="single" w:sz="4" w:space="0" w:color="auto"/>
              <w:right w:val="single" w:sz="4" w:space="0" w:color="auto"/>
            </w:tcBorders>
            <w:shd w:val="clear" w:color="000000" w:fill="E9E9FF"/>
            <w:vAlign w:val="center"/>
            <w:hideMark/>
          </w:tcPr>
          <w:p w:rsidR="001121C0" w:rsidRPr="00783A93" w:rsidRDefault="001121C0" w:rsidP="00965ACF">
            <w:pPr>
              <w:spacing w:after="0" w:line="240" w:lineRule="auto"/>
              <w:jc w:val="center"/>
              <w:rPr>
                <w:rFonts w:ascii="Calibri" w:eastAsia="Times New Roman" w:hAnsi="Calibri" w:cs="Calibri"/>
                <w:sz w:val="18"/>
                <w:szCs w:val="24"/>
                <w:lang w:eastAsia="tr-TR"/>
              </w:rPr>
            </w:pPr>
            <w:r w:rsidRPr="00783A93">
              <w:rPr>
                <w:rFonts w:ascii="Calibri" w:eastAsia="Times New Roman" w:hAnsi="Calibri" w:cs="Calibri"/>
                <w:sz w:val="18"/>
                <w:szCs w:val="24"/>
                <w:lang w:eastAsia="tr-TR"/>
              </w:rPr>
              <w:t>–0.4</w:t>
            </w:r>
          </w:p>
        </w:tc>
      </w:tr>
      <w:tr w:rsidR="001121C0" w:rsidRPr="00783A93" w:rsidTr="00965ACF">
        <w:trPr>
          <w:trHeight w:val="511"/>
          <w:jc w:val="center"/>
        </w:trPr>
        <w:tc>
          <w:tcPr>
            <w:tcW w:w="2870" w:type="dxa"/>
            <w:tcBorders>
              <w:top w:val="nil"/>
              <w:left w:val="single" w:sz="4" w:space="0" w:color="auto"/>
              <w:bottom w:val="single" w:sz="4" w:space="0" w:color="auto"/>
              <w:right w:val="single" w:sz="4" w:space="0" w:color="auto"/>
            </w:tcBorders>
            <w:shd w:val="clear" w:color="auto" w:fill="auto"/>
            <w:vAlign w:val="center"/>
            <w:hideMark/>
          </w:tcPr>
          <w:p w:rsidR="001121C0" w:rsidRPr="00783A93" w:rsidRDefault="001121C0" w:rsidP="00965ACF">
            <w:pPr>
              <w:spacing w:after="0" w:line="240" w:lineRule="auto"/>
              <w:rPr>
                <w:rFonts w:ascii="Calibri" w:eastAsia="Times New Roman" w:hAnsi="Calibri" w:cs="Calibri"/>
                <w:b/>
                <w:bCs/>
                <w:color w:val="C00000"/>
                <w:sz w:val="18"/>
                <w:szCs w:val="24"/>
                <w:lang w:eastAsia="tr-TR"/>
              </w:rPr>
            </w:pPr>
            <w:r w:rsidRPr="00783A93">
              <w:rPr>
                <w:rFonts w:ascii="Calibri" w:eastAsia="Times New Roman" w:hAnsi="Calibri" w:cs="Calibri"/>
                <w:b/>
                <w:bCs/>
                <w:color w:val="C00000"/>
                <w:sz w:val="18"/>
                <w:szCs w:val="24"/>
                <w:lang w:eastAsia="tr-TR"/>
              </w:rPr>
              <w:t>Dünya Ticaret Hacmi (mal ve hizmetler)</w:t>
            </w:r>
          </w:p>
        </w:tc>
        <w:tc>
          <w:tcPr>
            <w:tcW w:w="611" w:type="dxa"/>
            <w:tcBorders>
              <w:top w:val="nil"/>
              <w:left w:val="nil"/>
              <w:bottom w:val="single" w:sz="4" w:space="0" w:color="auto"/>
              <w:right w:val="single" w:sz="4" w:space="0" w:color="auto"/>
            </w:tcBorders>
            <w:shd w:val="clear" w:color="auto" w:fill="auto"/>
            <w:noWrap/>
            <w:vAlign w:val="center"/>
            <w:hideMark/>
          </w:tcPr>
          <w:p w:rsidR="001121C0" w:rsidRPr="00783A93" w:rsidRDefault="001121C0" w:rsidP="00965ACF">
            <w:pPr>
              <w:spacing w:after="0" w:line="240" w:lineRule="auto"/>
              <w:jc w:val="center"/>
              <w:rPr>
                <w:rFonts w:ascii="Calibri" w:eastAsia="Times New Roman" w:hAnsi="Calibri" w:cs="Calibri"/>
                <w:b/>
                <w:bCs/>
                <w:color w:val="000000"/>
                <w:sz w:val="18"/>
                <w:szCs w:val="24"/>
                <w:lang w:eastAsia="tr-TR"/>
              </w:rPr>
            </w:pPr>
            <w:r w:rsidRPr="00783A93">
              <w:rPr>
                <w:rFonts w:ascii="Calibri" w:eastAsia="Times New Roman" w:hAnsi="Calibri" w:cs="Calibri"/>
                <w:b/>
                <w:bCs/>
                <w:color w:val="000000"/>
                <w:sz w:val="18"/>
                <w:szCs w:val="24"/>
                <w:lang w:eastAsia="tr-TR"/>
              </w:rPr>
              <w:t>5,5</w:t>
            </w:r>
          </w:p>
        </w:tc>
        <w:tc>
          <w:tcPr>
            <w:tcW w:w="526" w:type="dxa"/>
            <w:tcBorders>
              <w:top w:val="nil"/>
              <w:left w:val="nil"/>
              <w:bottom w:val="single" w:sz="4" w:space="0" w:color="auto"/>
              <w:right w:val="single" w:sz="4" w:space="0" w:color="auto"/>
            </w:tcBorders>
            <w:shd w:val="clear" w:color="auto" w:fill="auto"/>
            <w:noWrap/>
            <w:vAlign w:val="center"/>
            <w:hideMark/>
          </w:tcPr>
          <w:p w:rsidR="001121C0" w:rsidRPr="00783A93" w:rsidRDefault="001121C0" w:rsidP="00965ACF">
            <w:pPr>
              <w:spacing w:after="0" w:line="240" w:lineRule="auto"/>
              <w:jc w:val="center"/>
              <w:rPr>
                <w:rFonts w:ascii="Calibri" w:eastAsia="Times New Roman" w:hAnsi="Calibri" w:cs="Calibri"/>
                <w:b/>
                <w:bCs/>
                <w:color w:val="000000"/>
                <w:sz w:val="18"/>
                <w:szCs w:val="24"/>
                <w:lang w:eastAsia="tr-TR"/>
              </w:rPr>
            </w:pPr>
            <w:r w:rsidRPr="00783A93">
              <w:rPr>
                <w:rFonts w:ascii="Calibri" w:eastAsia="Times New Roman" w:hAnsi="Calibri" w:cs="Calibri"/>
                <w:b/>
                <w:bCs/>
                <w:color w:val="000000"/>
                <w:sz w:val="18"/>
                <w:szCs w:val="24"/>
                <w:lang w:eastAsia="tr-TR"/>
              </w:rPr>
              <w:t>3,7</w:t>
            </w:r>
          </w:p>
        </w:tc>
        <w:tc>
          <w:tcPr>
            <w:tcW w:w="710"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b/>
                <w:bCs/>
                <w:color w:val="000000"/>
                <w:sz w:val="18"/>
                <w:szCs w:val="24"/>
                <w:lang w:eastAsia="tr-TR"/>
              </w:rPr>
            </w:pPr>
            <w:r w:rsidRPr="00783A93">
              <w:rPr>
                <w:rFonts w:ascii="Calibri" w:eastAsia="Times New Roman" w:hAnsi="Calibri" w:cs="Calibri"/>
                <w:b/>
                <w:bCs/>
                <w:color w:val="000000"/>
                <w:sz w:val="18"/>
                <w:szCs w:val="24"/>
                <w:lang w:eastAsia="tr-TR"/>
              </w:rPr>
              <w:t>2,5</w:t>
            </w:r>
          </w:p>
        </w:tc>
        <w:tc>
          <w:tcPr>
            <w:tcW w:w="696"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b/>
                <w:bCs/>
                <w:color w:val="000000"/>
                <w:sz w:val="18"/>
                <w:szCs w:val="24"/>
                <w:lang w:eastAsia="tr-TR"/>
              </w:rPr>
            </w:pPr>
            <w:r w:rsidRPr="00783A93">
              <w:rPr>
                <w:rFonts w:ascii="Calibri" w:eastAsia="Times New Roman" w:hAnsi="Calibri" w:cs="Calibri"/>
                <w:b/>
                <w:bCs/>
                <w:color w:val="000000"/>
                <w:sz w:val="18"/>
                <w:szCs w:val="24"/>
                <w:lang w:eastAsia="tr-TR"/>
              </w:rPr>
              <w:t>3,7</w:t>
            </w:r>
          </w:p>
        </w:tc>
        <w:tc>
          <w:tcPr>
            <w:tcW w:w="181" w:type="dxa"/>
            <w:vMerge/>
            <w:tcBorders>
              <w:top w:val="nil"/>
              <w:left w:val="single" w:sz="4" w:space="0" w:color="auto"/>
              <w:bottom w:val="single" w:sz="4" w:space="0" w:color="auto"/>
              <w:right w:val="single" w:sz="4" w:space="0" w:color="auto"/>
            </w:tcBorders>
            <w:vAlign w:val="center"/>
            <w:hideMark/>
          </w:tcPr>
          <w:p w:rsidR="001121C0" w:rsidRPr="00783A93" w:rsidRDefault="001121C0" w:rsidP="00965ACF">
            <w:pPr>
              <w:spacing w:after="0" w:line="240" w:lineRule="auto"/>
              <w:rPr>
                <w:rFonts w:ascii="Calibri" w:eastAsia="Times New Roman" w:hAnsi="Calibri" w:cs="Calibri"/>
                <w:color w:val="000000"/>
                <w:sz w:val="18"/>
                <w:szCs w:val="24"/>
                <w:lang w:eastAsia="tr-TR"/>
              </w:rPr>
            </w:pPr>
          </w:p>
        </w:tc>
        <w:tc>
          <w:tcPr>
            <w:tcW w:w="724" w:type="dxa"/>
            <w:tcBorders>
              <w:top w:val="nil"/>
              <w:left w:val="nil"/>
              <w:bottom w:val="single" w:sz="4" w:space="0" w:color="auto"/>
              <w:right w:val="single" w:sz="4" w:space="0" w:color="auto"/>
            </w:tcBorders>
            <w:shd w:val="clear" w:color="000000" w:fill="E9E9FF"/>
            <w:vAlign w:val="center"/>
            <w:hideMark/>
          </w:tcPr>
          <w:p w:rsidR="001121C0" w:rsidRPr="00783A93" w:rsidRDefault="001121C0" w:rsidP="00965ACF">
            <w:pPr>
              <w:spacing w:after="0" w:line="240" w:lineRule="auto"/>
              <w:jc w:val="center"/>
              <w:rPr>
                <w:rFonts w:ascii="Calibri" w:eastAsia="Times New Roman" w:hAnsi="Calibri" w:cs="Calibri"/>
                <w:b/>
                <w:bCs/>
                <w:sz w:val="18"/>
                <w:szCs w:val="24"/>
                <w:lang w:eastAsia="tr-TR"/>
              </w:rPr>
            </w:pPr>
            <w:r w:rsidRPr="00783A93">
              <w:rPr>
                <w:rFonts w:ascii="Calibri" w:eastAsia="Times New Roman" w:hAnsi="Calibri" w:cs="Calibri"/>
                <w:b/>
                <w:bCs/>
                <w:sz w:val="18"/>
                <w:szCs w:val="24"/>
                <w:lang w:eastAsia="tr-TR"/>
              </w:rPr>
              <w:t>–0.9</w:t>
            </w:r>
          </w:p>
        </w:tc>
        <w:tc>
          <w:tcPr>
            <w:tcW w:w="739" w:type="dxa"/>
            <w:tcBorders>
              <w:top w:val="nil"/>
              <w:left w:val="nil"/>
              <w:bottom w:val="single" w:sz="4" w:space="0" w:color="auto"/>
              <w:right w:val="single" w:sz="4" w:space="0" w:color="auto"/>
            </w:tcBorders>
            <w:shd w:val="clear" w:color="000000" w:fill="E9E9FF"/>
            <w:vAlign w:val="center"/>
            <w:hideMark/>
          </w:tcPr>
          <w:p w:rsidR="001121C0" w:rsidRPr="00783A93" w:rsidRDefault="001121C0" w:rsidP="00965ACF">
            <w:pPr>
              <w:spacing w:after="0" w:line="240" w:lineRule="auto"/>
              <w:jc w:val="center"/>
              <w:rPr>
                <w:rFonts w:ascii="Calibri" w:eastAsia="Times New Roman" w:hAnsi="Calibri" w:cs="Calibri"/>
                <w:b/>
                <w:bCs/>
                <w:sz w:val="18"/>
                <w:szCs w:val="24"/>
                <w:lang w:eastAsia="tr-TR"/>
              </w:rPr>
            </w:pPr>
            <w:r w:rsidRPr="00783A93">
              <w:rPr>
                <w:rFonts w:ascii="Calibri" w:eastAsia="Times New Roman" w:hAnsi="Calibri" w:cs="Calibri"/>
                <w:b/>
                <w:bCs/>
                <w:sz w:val="18"/>
                <w:szCs w:val="24"/>
                <w:lang w:eastAsia="tr-TR"/>
              </w:rPr>
              <w:t>–0.2</w:t>
            </w:r>
          </w:p>
        </w:tc>
      </w:tr>
      <w:tr w:rsidR="001121C0" w:rsidRPr="00783A93" w:rsidTr="00965ACF">
        <w:trPr>
          <w:trHeight w:val="260"/>
          <w:jc w:val="center"/>
        </w:trPr>
        <w:tc>
          <w:tcPr>
            <w:tcW w:w="2870" w:type="dxa"/>
            <w:tcBorders>
              <w:top w:val="nil"/>
              <w:left w:val="single" w:sz="4" w:space="0" w:color="auto"/>
              <w:bottom w:val="single" w:sz="4" w:space="0" w:color="auto"/>
              <w:right w:val="single" w:sz="4" w:space="0" w:color="auto"/>
            </w:tcBorders>
            <w:shd w:val="clear" w:color="auto" w:fill="auto"/>
            <w:vAlign w:val="center"/>
            <w:hideMark/>
          </w:tcPr>
          <w:p w:rsidR="001121C0" w:rsidRPr="00783A93" w:rsidRDefault="001121C0" w:rsidP="00965ACF">
            <w:pPr>
              <w:spacing w:after="0" w:line="240" w:lineRule="auto"/>
              <w:rPr>
                <w:rFonts w:ascii="Calibri" w:eastAsia="Times New Roman" w:hAnsi="Calibri" w:cs="Calibri"/>
                <w:sz w:val="18"/>
                <w:szCs w:val="24"/>
                <w:lang w:eastAsia="tr-TR"/>
              </w:rPr>
            </w:pPr>
            <w:r w:rsidRPr="00783A93">
              <w:rPr>
                <w:rFonts w:ascii="Calibri" w:eastAsia="Times New Roman" w:hAnsi="Calibri" w:cs="Calibri"/>
                <w:sz w:val="18"/>
                <w:szCs w:val="24"/>
                <w:lang w:eastAsia="tr-TR"/>
              </w:rPr>
              <w:t>Gelişmiş ekonomiler</w:t>
            </w:r>
          </w:p>
        </w:tc>
        <w:tc>
          <w:tcPr>
            <w:tcW w:w="611" w:type="dxa"/>
            <w:tcBorders>
              <w:top w:val="nil"/>
              <w:left w:val="nil"/>
              <w:bottom w:val="single" w:sz="4" w:space="0" w:color="auto"/>
              <w:right w:val="single" w:sz="4" w:space="0" w:color="auto"/>
            </w:tcBorders>
            <w:shd w:val="clear" w:color="auto" w:fill="auto"/>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4,4</w:t>
            </w:r>
          </w:p>
        </w:tc>
        <w:tc>
          <w:tcPr>
            <w:tcW w:w="526" w:type="dxa"/>
            <w:tcBorders>
              <w:top w:val="nil"/>
              <w:left w:val="nil"/>
              <w:bottom w:val="single" w:sz="4" w:space="0" w:color="auto"/>
              <w:right w:val="single" w:sz="4" w:space="0" w:color="auto"/>
            </w:tcBorders>
            <w:shd w:val="clear" w:color="auto" w:fill="auto"/>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3,1</w:t>
            </w:r>
          </w:p>
        </w:tc>
        <w:tc>
          <w:tcPr>
            <w:tcW w:w="710"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2,2</w:t>
            </w:r>
          </w:p>
        </w:tc>
        <w:tc>
          <w:tcPr>
            <w:tcW w:w="696"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3,1</w:t>
            </w:r>
          </w:p>
        </w:tc>
        <w:tc>
          <w:tcPr>
            <w:tcW w:w="181" w:type="dxa"/>
            <w:vMerge/>
            <w:tcBorders>
              <w:top w:val="nil"/>
              <w:left w:val="single" w:sz="4" w:space="0" w:color="auto"/>
              <w:bottom w:val="single" w:sz="4" w:space="0" w:color="auto"/>
              <w:right w:val="single" w:sz="4" w:space="0" w:color="auto"/>
            </w:tcBorders>
            <w:vAlign w:val="center"/>
            <w:hideMark/>
          </w:tcPr>
          <w:p w:rsidR="001121C0" w:rsidRPr="00783A93" w:rsidRDefault="001121C0" w:rsidP="00965ACF">
            <w:pPr>
              <w:spacing w:after="0" w:line="240" w:lineRule="auto"/>
              <w:rPr>
                <w:rFonts w:ascii="Calibri" w:eastAsia="Times New Roman" w:hAnsi="Calibri" w:cs="Calibri"/>
                <w:color w:val="000000"/>
                <w:sz w:val="18"/>
                <w:szCs w:val="24"/>
                <w:lang w:eastAsia="tr-TR"/>
              </w:rPr>
            </w:pPr>
          </w:p>
        </w:tc>
        <w:tc>
          <w:tcPr>
            <w:tcW w:w="724" w:type="dxa"/>
            <w:tcBorders>
              <w:top w:val="nil"/>
              <w:left w:val="nil"/>
              <w:bottom w:val="single" w:sz="4" w:space="0" w:color="auto"/>
              <w:right w:val="single" w:sz="4" w:space="0" w:color="auto"/>
            </w:tcBorders>
            <w:shd w:val="clear" w:color="000000" w:fill="E9E9FF"/>
            <w:vAlign w:val="center"/>
            <w:hideMark/>
          </w:tcPr>
          <w:p w:rsidR="001121C0" w:rsidRPr="00783A93" w:rsidRDefault="001121C0" w:rsidP="00965ACF">
            <w:pPr>
              <w:spacing w:after="0" w:line="240" w:lineRule="auto"/>
              <w:jc w:val="center"/>
              <w:rPr>
                <w:rFonts w:ascii="Calibri" w:eastAsia="Times New Roman" w:hAnsi="Calibri" w:cs="Calibri"/>
                <w:sz w:val="18"/>
                <w:szCs w:val="24"/>
                <w:lang w:eastAsia="tr-TR"/>
              </w:rPr>
            </w:pPr>
            <w:r w:rsidRPr="00783A93">
              <w:rPr>
                <w:rFonts w:ascii="Calibri" w:eastAsia="Times New Roman" w:hAnsi="Calibri" w:cs="Calibri"/>
                <w:sz w:val="18"/>
                <w:szCs w:val="24"/>
                <w:lang w:eastAsia="tr-TR"/>
              </w:rPr>
              <w:t>–0.6</w:t>
            </w:r>
          </w:p>
        </w:tc>
        <w:tc>
          <w:tcPr>
            <w:tcW w:w="739"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0,0</w:t>
            </w:r>
          </w:p>
        </w:tc>
      </w:tr>
      <w:tr w:rsidR="001121C0" w:rsidRPr="00783A93" w:rsidTr="00965ACF">
        <w:trPr>
          <w:trHeight w:val="420"/>
          <w:jc w:val="center"/>
        </w:trPr>
        <w:tc>
          <w:tcPr>
            <w:tcW w:w="2870" w:type="dxa"/>
            <w:tcBorders>
              <w:top w:val="nil"/>
              <w:left w:val="single" w:sz="4" w:space="0" w:color="auto"/>
              <w:bottom w:val="single" w:sz="4" w:space="0" w:color="auto"/>
              <w:right w:val="single" w:sz="4" w:space="0" w:color="auto"/>
            </w:tcBorders>
            <w:shd w:val="clear" w:color="auto" w:fill="auto"/>
            <w:vAlign w:val="center"/>
            <w:hideMark/>
          </w:tcPr>
          <w:p w:rsidR="001121C0" w:rsidRPr="00783A93" w:rsidRDefault="001121C0" w:rsidP="00965ACF">
            <w:pPr>
              <w:spacing w:after="0" w:line="240" w:lineRule="auto"/>
              <w:rPr>
                <w:rFonts w:ascii="Calibri" w:eastAsia="Times New Roman" w:hAnsi="Calibri" w:cs="Calibri"/>
                <w:sz w:val="18"/>
                <w:szCs w:val="24"/>
                <w:lang w:eastAsia="tr-TR"/>
              </w:rPr>
            </w:pPr>
            <w:r w:rsidRPr="00783A93">
              <w:rPr>
                <w:rFonts w:ascii="Calibri" w:eastAsia="Times New Roman" w:hAnsi="Calibri" w:cs="Calibri"/>
                <w:sz w:val="18"/>
                <w:szCs w:val="24"/>
                <w:lang w:eastAsia="tr-TR"/>
              </w:rPr>
              <w:t>Yükselen Piyasalar ve Gelişmekte Olan Ekonomiler</w:t>
            </w:r>
          </w:p>
        </w:tc>
        <w:tc>
          <w:tcPr>
            <w:tcW w:w="611" w:type="dxa"/>
            <w:tcBorders>
              <w:top w:val="nil"/>
              <w:left w:val="nil"/>
              <w:bottom w:val="single" w:sz="4" w:space="0" w:color="auto"/>
              <w:right w:val="single" w:sz="4" w:space="0" w:color="auto"/>
            </w:tcBorders>
            <w:shd w:val="clear" w:color="auto" w:fill="auto"/>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7,4</w:t>
            </w:r>
          </w:p>
        </w:tc>
        <w:tc>
          <w:tcPr>
            <w:tcW w:w="526" w:type="dxa"/>
            <w:tcBorders>
              <w:top w:val="nil"/>
              <w:left w:val="nil"/>
              <w:bottom w:val="single" w:sz="4" w:space="0" w:color="auto"/>
              <w:right w:val="single" w:sz="4" w:space="0" w:color="auto"/>
            </w:tcBorders>
            <w:shd w:val="clear" w:color="auto" w:fill="auto"/>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4,7</w:t>
            </w:r>
          </w:p>
        </w:tc>
        <w:tc>
          <w:tcPr>
            <w:tcW w:w="710"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2,9</w:t>
            </w:r>
          </w:p>
        </w:tc>
        <w:tc>
          <w:tcPr>
            <w:tcW w:w="696"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4,8</w:t>
            </w:r>
          </w:p>
        </w:tc>
        <w:tc>
          <w:tcPr>
            <w:tcW w:w="181" w:type="dxa"/>
            <w:vMerge/>
            <w:tcBorders>
              <w:top w:val="nil"/>
              <w:left w:val="single" w:sz="4" w:space="0" w:color="auto"/>
              <w:bottom w:val="single" w:sz="4" w:space="0" w:color="auto"/>
              <w:right w:val="single" w:sz="4" w:space="0" w:color="auto"/>
            </w:tcBorders>
            <w:vAlign w:val="center"/>
            <w:hideMark/>
          </w:tcPr>
          <w:p w:rsidR="001121C0" w:rsidRPr="00783A93" w:rsidRDefault="001121C0" w:rsidP="00965ACF">
            <w:pPr>
              <w:spacing w:after="0" w:line="240" w:lineRule="auto"/>
              <w:rPr>
                <w:rFonts w:ascii="Calibri" w:eastAsia="Times New Roman" w:hAnsi="Calibri" w:cs="Calibri"/>
                <w:color w:val="000000"/>
                <w:sz w:val="18"/>
                <w:szCs w:val="24"/>
                <w:lang w:eastAsia="tr-TR"/>
              </w:rPr>
            </w:pPr>
          </w:p>
        </w:tc>
        <w:tc>
          <w:tcPr>
            <w:tcW w:w="724" w:type="dxa"/>
            <w:tcBorders>
              <w:top w:val="nil"/>
              <w:left w:val="nil"/>
              <w:bottom w:val="single" w:sz="4" w:space="0" w:color="auto"/>
              <w:right w:val="single" w:sz="4" w:space="0" w:color="auto"/>
            </w:tcBorders>
            <w:shd w:val="clear" w:color="000000" w:fill="E9E9FF"/>
            <w:vAlign w:val="center"/>
            <w:hideMark/>
          </w:tcPr>
          <w:p w:rsidR="001121C0" w:rsidRPr="00783A93" w:rsidRDefault="001121C0" w:rsidP="00965ACF">
            <w:pPr>
              <w:spacing w:after="0" w:line="240" w:lineRule="auto"/>
              <w:jc w:val="center"/>
              <w:rPr>
                <w:rFonts w:ascii="Calibri" w:eastAsia="Times New Roman" w:hAnsi="Calibri" w:cs="Calibri"/>
                <w:sz w:val="18"/>
                <w:szCs w:val="24"/>
                <w:lang w:eastAsia="tr-TR"/>
              </w:rPr>
            </w:pPr>
            <w:r w:rsidRPr="00783A93">
              <w:rPr>
                <w:rFonts w:ascii="Calibri" w:eastAsia="Times New Roman" w:hAnsi="Calibri" w:cs="Calibri"/>
                <w:sz w:val="18"/>
                <w:szCs w:val="24"/>
                <w:lang w:eastAsia="tr-TR"/>
              </w:rPr>
              <w:t>–1.4</w:t>
            </w:r>
          </w:p>
        </w:tc>
        <w:tc>
          <w:tcPr>
            <w:tcW w:w="739" w:type="dxa"/>
            <w:tcBorders>
              <w:top w:val="nil"/>
              <w:left w:val="nil"/>
              <w:bottom w:val="single" w:sz="4" w:space="0" w:color="auto"/>
              <w:right w:val="single" w:sz="4" w:space="0" w:color="auto"/>
            </w:tcBorders>
            <w:shd w:val="clear" w:color="000000" w:fill="E9E9FF"/>
            <w:vAlign w:val="center"/>
            <w:hideMark/>
          </w:tcPr>
          <w:p w:rsidR="001121C0" w:rsidRPr="00783A93" w:rsidRDefault="001121C0" w:rsidP="00965ACF">
            <w:pPr>
              <w:spacing w:after="0" w:line="240" w:lineRule="auto"/>
              <w:jc w:val="center"/>
              <w:rPr>
                <w:rFonts w:ascii="Calibri" w:eastAsia="Times New Roman" w:hAnsi="Calibri" w:cs="Calibri"/>
                <w:sz w:val="18"/>
                <w:szCs w:val="24"/>
                <w:lang w:eastAsia="tr-TR"/>
              </w:rPr>
            </w:pPr>
            <w:r w:rsidRPr="00783A93">
              <w:rPr>
                <w:rFonts w:ascii="Calibri" w:eastAsia="Times New Roman" w:hAnsi="Calibri" w:cs="Calibri"/>
                <w:sz w:val="18"/>
                <w:szCs w:val="24"/>
                <w:lang w:eastAsia="tr-TR"/>
              </w:rPr>
              <w:t>–0.3</w:t>
            </w:r>
          </w:p>
        </w:tc>
      </w:tr>
      <w:tr w:rsidR="001121C0" w:rsidRPr="00783A93" w:rsidTr="00965ACF">
        <w:trPr>
          <w:trHeight w:val="210"/>
          <w:jc w:val="center"/>
        </w:trPr>
        <w:tc>
          <w:tcPr>
            <w:tcW w:w="2870" w:type="dxa"/>
            <w:tcBorders>
              <w:top w:val="nil"/>
              <w:left w:val="single" w:sz="4" w:space="0" w:color="auto"/>
              <w:bottom w:val="single" w:sz="4" w:space="0" w:color="auto"/>
              <w:right w:val="single" w:sz="4" w:space="0" w:color="auto"/>
            </w:tcBorders>
            <w:shd w:val="clear" w:color="auto" w:fill="auto"/>
            <w:vAlign w:val="center"/>
            <w:hideMark/>
          </w:tcPr>
          <w:p w:rsidR="001121C0" w:rsidRPr="00783A93" w:rsidRDefault="001121C0" w:rsidP="00965ACF">
            <w:pPr>
              <w:spacing w:after="0" w:line="240" w:lineRule="auto"/>
              <w:rPr>
                <w:rFonts w:ascii="Calibri" w:eastAsia="Times New Roman" w:hAnsi="Calibri" w:cs="Calibri"/>
                <w:b/>
                <w:bCs/>
                <w:color w:val="C00000"/>
                <w:sz w:val="18"/>
                <w:szCs w:val="24"/>
                <w:lang w:eastAsia="tr-TR"/>
              </w:rPr>
            </w:pPr>
            <w:r w:rsidRPr="00783A93">
              <w:rPr>
                <w:rFonts w:ascii="Calibri" w:eastAsia="Times New Roman" w:hAnsi="Calibri" w:cs="Calibri"/>
                <w:b/>
                <w:bCs/>
                <w:color w:val="C00000"/>
                <w:sz w:val="18"/>
                <w:szCs w:val="24"/>
                <w:lang w:eastAsia="tr-TR"/>
              </w:rPr>
              <w:t>Emtia Fiyatları (ABD Doları)</w:t>
            </w:r>
          </w:p>
        </w:tc>
        <w:tc>
          <w:tcPr>
            <w:tcW w:w="611" w:type="dxa"/>
            <w:tcBorders>
              <w:top w:val="nil"/>
              <w:left w:val="nil"/>
              <w:bottom w:val="single" w:sz="4" w:space="0" w:color="auto"/>
              <w:right w:val="single" w:sz="4" w:space="0" w:color="auto"/>
            </w:tcBorders>
            <w:shd w:val="clear" w:color="auto" w:fill="auto"/>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 </w:t>
            </w:r>
          </w:p>
        </w:tc>
        <w:tc>
          <w:tcPr>
            <w:tcW w:w="526" w:type="dxa"/>
            <w:tcBorders>
              <w:top w:val="nil"/>
              <w:left w:val="nil"/>
              <w:bottom w:val="single" w:sz="4" w:space="0" w:color="auto"/>
              <w:right w:val="single" w:sz="4" w:space="0" w:color="auto"/>
            </w:tcBorders>
            <w:shd w:val="clear" w:color="auto" w:fill="auto"/>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 </w:t>
            </w:r>
          </w:p>
        </w:tc>
        <w:tc>
          <w:tcPr>
            <w:tcW w:w="710" w:type="dxa"/>
            <w:tcBorders>
              <w:top w:val="nil"/>
              <w:left w:val="nil"/>
              <w:bottom w:val="single" w:sz="4" w:space="0" w:color="auto"/>
              <w:right w:val="single" w:sz="4" w:space="0" w:color="auto"/>
            </w:tcBorders>
            <w:shd w:val="clear" w:color="000000" w:fill="E9E9FF"/>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 </w:t>
            </w:r>
          </w:p>
        </w:tc>
        <w:tc>
          <w:tcPr>
            <w:tcW w:w="696" w:type="dxa"/>
            <w:tcBorders>
              <w:top w:val="nil"/>
              <w:left w:val="nil"/>
              <w:bottom w:val="single" w:sz="4" w:space="0" w:color="auto"/>
              <w:right w:val="single" w:sz="4" w:space="0" w:color="auto"/>
            </w:tcBorders>
            <w:shd w:val="clear" w:color="000000" w:fill="E9E9FF"/>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 </w:t>
            </w:r>
          </w:p>
        </w:tc>
        <w:tc>
          <w:tcPr>
            <w:tcW w:w="181" w:type="dxa"/>
            <w:vMerge/>
            <w:tcBorders>
              <w:top w:val="nil"/>
              <w:left w:val="single" w:sz="4" w:space="0" w:color="auto"/>
              <w:bottom w:val="single" w:sz="4" w:space="0" w:color="auto"/>
              <w:right w:val="single" w:sz="4" w:space="0" w:color="auto"/>
            </w:tcBorders>
            <w:vAlign w:val="center"/>
            <w:hideMark/>
          </w:tcPr>
          <w:p w:rsidR="001121C0" w:rsidRPr="00783A93" w:rsidRDefault="001121C0" w:rsidP="00965ACF">
            <w:pPr>
              <w:spacing w:after="0" w:line="240" w:lineRule="auto"/>
              <w:rPr>
                <w:rFonts w:ascii="Calibri" w:eastAsia="Times New Roman" w:hAnsi="Calibri" w:cs="Calibri"/>
                <w:color w:val="000000"/>
                <w:sz w:val="18"/>
                <w:szCs w:val="24"/>
                <w:lang w:eastAsia="tr-TR"/>
              </w:rPr>
            </w:pPr>
          </w:p>
        </w:tc>
        <w:tc>
          <w:tcPr>
            <w:tcW w:w="724" w:type="dxa"/>
            <w:tcBorders>
              <w:top w:val="nil"/>
              <w:left w:val="nil"/>
              <w:bottom w:val="single" w:sz="4" w:space="0" w:color="auto"/>
              <w:right w:val="single" w:sz="4" w:space="0" w:color="auto"/>
            </w:tcBorders>
            <w:shd w:val="clear" w:color="000000" w:fill="E9E9FF"/>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 </w:t>
            </w:r>
          </w:p>
        </w:tc>
        <w:tc>
          <w:tcPr>
            <w:tcW w:w="739" w:type="dxa"/>
            <w:tcBorders>
              <w:top w:val="nil"/>
              <w:left w:val="nil"/>
              <w:bottom w:val="single" w:sz="4" w:space="0" w:color="auto"/>
              <w:right w:val="single" w:sz="4" w:space="0" w:color="auto"/>
            </w:tcBorders>
            <w:shd w:val="clear" w:color="000000" w:fill="E9E9FF"/>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 </w:t>
            </w:r>
          </w:p>
        </w:tc>
      </w:tr>
      <w:tr w:rsidR="001121C0" w:rsidRPr="00783A93" w:rsidTr="00965ACF">
        <w:trPr>
          <w:trHeight w:val="260"/>
          <w:jc w:val="center"/>
        </w:trPr>
        <w:tc>
          <w:tcPr>
            <w:tcW w:w="2870" w:type="dxa"/>
            <w:tcBorders>
              <w:top w:val="nil"/>
              <w:left w:val="single" w:sz="4" w:space="0" w:color="auto"/>
              <w:bottom w:val="single" w:sz="4" w:space="0" w:color="auto"/>
              <w:right w:val="single" w:sz="4" w:space="0" w:color="auto"/>
            </w:tcBorders>
            <w:shd w:val="clear" w:color="auto" w:fill="auto"/>
            <w:vAlign w:val="center"/>
            <w:hideMark/>
          </w:tcPr>
          <w:p w:rsidR="001121C0" w:rsidRPr="00783A93" w:rsidRDefault="001121C0" w:rsidP="00965ACF">
            <w:pPr>
              <w:spacing w:after="0" w:line="240" w:lineRule="auto"/>
              <w:rPr>
                <w:rFonts w:ascii="Calibri" w:eastAsia="Times New Roman" w:hAnsi="Calibri" w:cs="Calibri"/>
                <w:sz w:val="18"/>
                <w:szCs w:val="24"/>
                <w:lang w:eastAsia="tr-TR"/>
              </w:rPr>
            </w:pPr>
            <w:r w:rsidRPr="00783A93">
              <w:rPr>
                <w:rFonts w:ascii="Calibri" w:eastAsia="Times New Roman" w:hAnsi="Calibri" w:cs="Calibri"/>
                <w:sz w:val="18"/>
                <w:szCs w:val="24"/>
                <w:lang w:eastAsia="tr-TR"/>
              </w:rPr>
              <w:t>Petrol</w:t>
            </w:r>
          </w:p>
        </w:tc>
        <w:tc>
          <w:tcPr>
            <w:tcW w:w="611" w:type="dxa"/>
            <w:tcBorders>
              <w:top w:val="nil"/>
              <w:left w:val="nil"/>
              <w:bottom w:val="single" w:sz="4" w:space="0" w:color="auto"/>
              <w:right w:val="single" w:sz="4" w:space="0" w:color="auto"/>
            </w:tcBorders>
            <w:shd w:val="clear" w:color="auto" w:fill="auto"/>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23,3</w:t>
            </w:r>
          </w:p>
        </w:tc>
        <w:tc>
          <w:tcPr>
            <w:tcW w:w="526" w:type="dxa"/>
            <w:tcBorders>
              <w:top w:val="nil"/>
              <w:left w:val="nil"/>
              <w:bottom w:val="single" w:sz="4" w:space="0" w:color="auto"/>
              <w:right w:val="single" w:sz="4" w:space="0" w:color="auto"/>
            </w:tcBorders>
            <w:shd w:val="clear" w:color="auto" w:fill="auto"/>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29,4</w:t>
            </w:r>
          </w:p>
        </w:tc>
        <w:tc>
          <w:tcPr>
            <w:tcW w:w="710" w:type="dxa"/>
            <w:tcBorders>
              <w:top w:val="nil"/>
              <w:left w:val="nil"/>
              <w:bottom w:val="single" w:sz="4" w:space="0" w:color="auto"/>
              <w:right w:val="single" w:sz="4" w:space="0" w:color="auto"/>
            </w:tcBorders>
            <w:shd w:val="clear" w:color="000000" w:fill="E9E9FF"/>
            <w:vAlign w:val="center"/>
            <w:hideMark/>
          </w:tcPr>
          <w:p w:rsidR="001121C0" w:rsidRPr="00783A93" w:rsidRDefault="001121C0" w:rsidP="00965ACF">
            <w:pPr>
              <w:spacing w:after="0" w:line="240" w:lineRule="auto"/>
              <w:jc w:val="center"/>
              <w:rPr>
                <w:rFonts w:ascii="Calibri" w:eastAsia="Times New Roman" w:hAnsi="Calibri" w:cs="Calibri"/>
                <w:sz w:val="18"/>
                <w:szCs w:val="24"/>
                <w:lang w:eastAsia="tr-TR"/>
              </w:rPr>
            </w:pPr>
            <w:r w:rsidRPr="00783A93">
              <w:rPr>
                <w:rFonts w:ascii="Calibri" w:eastAsia="Times New Roman" w:hAnsi="Calibri" w:cs="Calibri"/>
                <w:sz w:val="18"/>
                <w:szCs w:val="24"/>
                <w:lang w:eastAsia="tr-TR"/>
              </w:rPr>
              <w:t>–4.1</w:t>
            </w:r>
          </w:p>
        </w:tc>
        <w:tc>
          <w:tcPr>
            <w:tcW w:w="696" w:type="dxa"/>
            <w:tcBorders>
              <w:top w:val="nil"/>
              <w:left w:val="nil"/>
              <w:bottom w:val="single" w:sz="4" w:space="0" w:color="auto"/>
              <w:right w:val="single" w:sz="4" w:space="0" w:color="auto"/>
            </w:tcBorders>
            <w:shd w:val="clear" w:color="000000" w:fill="E9E9FF"/>
            <w:vAlign w:val="center"/>
            <w:hideMark/>
          </w:tcPr>
          <w:p w:rsidR="001121C0" w:rsidRPr="00783A93" w:rsidRDefault="001121C0" w:rsidP="00965ACF">
            <w:pPr>
              <w:spacing w:after="0" w:line="240" w:lineRule="auto"/>
              <w:jc w:val="center"/>
              <w:rPr>
                <w:rFonts w:ascii="Calibri" w:eastAsia="Times New Roman" w:hAnsi="Calibri" w:cs="Calibri"/>
                <w:sz w:val="18"/>
                <w:szCs w:val="24"/>
                <w:lang w:eastAsia="tr-TR"/>
              </w:rPr>
            </w:pPr>
            <w:r w:rsidRPr="00783A93">
              <w:rPr>
                <w:rFonts w:ascii="Calibri" w:eastAsia="Times New Roman" w:hAnsi="Calibri" w:cs="Calibri"/>
                <w:sz w:val="18"/>
                <w:szCs w:val="24"/>
                <w:lang w:eastAsia="tr-TR"/>
              </w:rPr>
              <w:t>–2.5</w:t>
            </w:r>
          </w:p>
        </w:tc>
        <w:tc>
          <w:tcPr>
            <w:tcW w:w="181" w:type="dxa"/>
            <w:vMerge/>
            <w:tcBorders>
              <w:top w:val="nil"/>
              <w:left w:val="single" w:sz="4" w:space="0" w:color="auto"/>
              <w:bottom w:val="single" w:sz="4" w:space="0" w:color="auto"/>
              <w:right w:val="single" w:sz="4" w:space="0" w:color="auto"/>
            </w:tcBorders>
            <w:vAlign w:val="center"/>
            <w:hideMark/>
          </w:tcPr>
          <w:p w:rsidR="001121C0" w:rsidRPr="00783A93" w:rsidRDefault="001121C0" w:rsidP="00965ACF">
            <w:pPr>
              <w:spacing w:after="0" w:line="240" w:lineRule="auto"/>
              <w:rPr>
                <w:rFonts w:ascii="Calibri" w:eastAsia="Times New Roman" w:hAnsi="Calibri" w:cs="Calibri"/>
                <w:color w:val="000000"/>
                <w:sz w:val="18"/>
                <w:szCs w:val="24"/>
                <w:lang w:eastAsia="tr-TR"/>
              </w:rPr>
            </w:pPr>
          </w:p>
        </w:tc>
        <w:tc>
          <w:tcPr>
            <w:tcW w:w="724"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9,3</w:t>
            </w:r>
          </w:p>
        </w:tc>
        <w:tc>
          <w:tcPr>
            <w:tcW w:w="739" w:type="dxa"/>
            <w:tcBorders>
              <w:top w:val="nil"/>
              <w:left w:val="nil"/>
              <w:bottom w:val="single" w:sz="4" w:space="0" w:color="auto"/>
              <w:right w:val="single" w:sz="4" w:space="0" w:color="auto"/>
            </w:tcBorders>
            <w:shd w:val="clear" w:color="000000" w:fill="E9E9FF"/>
            <w:vAlign w:val="center"/>
            <w:hideMark/>
          </w:tcPr>
          <w:p w:rsidR="001121C0" w:rsidRPr="00783A93" w:rsidRDefault="001121C0" w:rsidP="00965ACF">
            <w:pPr>
              <w:spacing w:after="0" w:line="240" w:lineRule="auto"/>
              <w:jc w:val="center"/>
              <w:rPr>
                <w:rFonts w:ascii="Calibri" w:eastAsia="Times New Roman" w:hAnsi="Calibri" w:cs="Calibri"/>
                <w:sz w:val="18"/>
                <w:szCs w:val="24"/>
                <w:lang w:eastAsia="tr-TR"/>
              </w:rPr>
            </w:pPr>
            <w:r w:rsidRPr="00783A93">
              <w:rPr>
                <w:rFonts w:ascii="Calibri" w:eastAsia="Times New Roman" w:hAnsi="Calibri" w:cs="Calibri"/>
                <w:sz w:val="18"/>
                <w:szCs w:val="24"/>
                <w:lang w:eastAsia="tr-TR"/>
              </w:rPr>
              <w:t>–2.3</w:t>
            </w:r>
          </w:p>
        </w:tc>
      </w:tr>
      <w:tr w:rsidR="001121C0" w:rsidRPr="00783A93" w:rsidTr="00965ACF">
        <w:trPr>
          <w:trHeight w:val="260"/>
          <w:jc w:val="center"/>
        </w:trPr>
        <w:tc>
          <w:tcPr>
            <w:tcW w:w="2870" w:type="dxa"/>
            <w:tcBorders>
              <w:top w:val="nil"/>
              <w:left w:val="single" w:sz="4" w:space="0" w:color="auto"/>
              <w:bottom w:val="single" w:sz="4" w:space="0" w:color="auto"/>
              <w:right w:val="single" w:sz="4" w:space="0" w:color="auto"/>
            </w:tcBorders>
            <w:shd w:val="clear" w:color="auto" w:fill="auto"/>
            <w:vAlign w:val="center"/>
            <w:hideMark/>
          </w:tcPr>
          <w:p w:rsidR="001121C0" w:rsidRPr="00783A93" w:rsidRDefault="001121C0" w:rsidP="00965ACF">
            <w:pPr>
              <w:spacing w:after="0" w:line="240" w:lineRule="auto"/>
              <w:rPr>
                <w:rFonts w:ascii="Calibri" w:eastAsia="Times New Roman" w:hAnsi="Calibri" w:cs="Calibri"/>
                <w:b/>
                <w:bCs/>
                <w:color w:val="C00000"/>
                <w:sz w:val="18"/>
                <w:szCs w:val="24"/>
                <w:lang w:eastAsia="tr-TR"/>
              </w:rPr>
            </w:pPr>
            <w:r w:rsidRPr="00783A93">
              <w:rPr>
                <w:rFonts w:ascii="Calibri" w:eastAsia="Times New Roman" w:hAnsi="Calibri" w:cs="Calibri"/>
                <w:b/>
                <w:bCs/>
                <w:color w:val="C00000"/>
                <w:sz w:val="18"/>
                <w:szCs w:val="24"/>
                <w:lang w:eastAsia="tr-TR"/>
              </w:rPr>
              <w:t>Tüketici fiyatları</w:t>
            </w:r>
          </w:p>
        </w:tc>
        <w:tc>
          <w:tcPr>
            <w:tcW w:w="611" w:type="dxa"/>
            <w:tcBorders>
              <w:top w:val="nil"/>
              <w:left w:val="nil"/>
              <w:bottom w:val="single" w:sz="4" w:space="0" w:color="auto"/>
              <w:right w:val="single" w:sz="4" w:space="0" w:color="auto"/>
            </w:tcBorders>
            <w:shd w:val="clear" w:color="auto" w:fill="auto"/>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 </w:t>
            </w:r>
          </w:p>
        </w:tc>
        <w:tc>
          <w:tcPr>
            <w:tcW w:w="526" w:type="dxa"/>
            <w:tcBorders>
              <w:top w:val="nil"/>
              <w:left w:val="nil"/>
              <w:bottom w:val="single" w:sz="4" w:space="0" w:color="auto"/>
              <w:right w:val="single" w:sz="4" w:space="0" w:color="auto"/>
            </w:tcBorders>
            <w:shd w:val="clear" w:color="auto" w:fill="auto"/>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 </w:t>
            </w:r>
          </w:p>
        </w:tc>
        <w:tc>
          <w:tcPr>
            <w:tcW w:w="710" w:type="dxa"/>
            <w:tcBorders>
              <w:top w:val="nil"/>
              <w:left w:val="nil"/>
              <w:bottom w:val="single" w:sz="4" w:space="0" w:color="auto"/>
              <w:right w:val="single" w:sz="4" w:space="0" w:color="auto"/>
            </w:tcBorders>
            <w:shd w:val="clear" w:color="000000" w:fill="E9E9FF"/>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 </w:t>
            </w:r>
          </w:p>
        </w:tc>
        <w:tc>
          <w:tcPr>
            <w:tcW w:w="696" w:type="dxa"/>
            <w:tcBorders>
              <w:top w:val="nil"/>
              <w:left w:val="nil"/>
              <w:bottom w:val="single" w:sz="4" w:space="0" w:color="auto"/>
              <w:right w:val="single" w:sz="4" w:space="0" w:color="auto"/>
            </w:tcBorders>
            <w:shd w:val="clear" w:color="000000" w:fill="E9E9FF"/>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 </w:t>
            </w:r>
          </w:p>
        </w:tc>
        <w:tc>
          <w:tcPr>
            <w:tcW w:w="181" w:type="dxa"/>
            <w:vMerge/>
            <w:tcBorders>
              <w:top w:val="nil"/>
              <w:left w:val="single" w:sz="4" w:space="0" w:color="auto"/>
              <w:bottom w:val="single" w:sz="4" w:space="0" w:color="auto"/>
              <w:right w:val="single" w:sz="4" w:space="0" w:color="auto"/>
            </w:tcBorders>
            <w:vAlign w:val="center"/>
            <w:hideMark/>
          </w:tcPr>
          <w:p w:rsidR="001121C0" w:rsidRPr="00783A93" w:rsidRDefault="001121C0" w:rsidP="00965ACF">
            <w:pPr>
              <w:spacing w:after="0" w:line="240" w:lineRule="auto"/>
              <w:rPr>
                <w:rFonts w:ascii="Calibri" w:eastAsia="Times New Roman" w:hAnsi="Calibri" w:cs="Calibri"/>
                <w:color w:val="000000"/>
                <w:sz w:val="18"/>
                <w:szCs w:val="24"/>
                <w:lang w:eastAsia="tr-TR"/>
              </w:rPr>
            </w:pPr>
          </w:p>
        </w:tc>
        <w:tc>
          <w:tcPr>
            <w:tcW w:w="724" w:type="dxa"/>
            <w:tcBorders>
              <w:top w:val="nil"/>
              <w:left w:val="nil"/>
              <w:bottom w:val="single" w:sz="4" w:space="0" w:color="auto"/>
              <w:right w:val="single" w:sz="4" w:space="0" w:color="auto"/>
            </w:tcBorders>
            <w:shd w:val="clear" w:color="000000" w:fill="E9E9FF"/>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 </w:t>
            </w:r>
          </w:p>
        </w:tc>
        <w:tc>
          <w:tcPr>
            <w:tcW w:w="739" w:type="dxa"/>
            <w:tcBorders>
              <w:top w:val="nil"/>
              <w:left w:val="nil"/>
              <w:bottom w:val="single" w:sz="4" w:space="0" w:color="auto"/>
              <w:right w:val="single" w:sz="4" w:space="0" w:color="auto"/>
            </w:tcBorders>
            <w:shd w:val="clear" w:color="000000" w:fill="E9E9FF"/>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 </w:t>
            </w:r>
          </w:p>
        </w:tc>
      </w:tr>
      <w:tr w:rsidR="001121C0" w:rsidRPr="00783A93" w:rsidTr="00965ACF">
        <w:trPr>
          <w:trHeight w:val="260"/>
          <w:jc w:val="center"/>
        </w:trPr>
        <w:tc>
          <w:tcPr>
            <w:tcW w:w="2870" w:type="dxa"/>
            <w:tcBorders>
              <w:top w:val="nil"/>
              <w:left w:val="single" w:sz="4" w:space="0" w:color="auto"/>
              <w:bottom w:val="single" w:sz="4" w:space="0" w:color="auto"/>
              <w:right w:val="single" w:sz="4" w:space="0" w:color="auto"/>
            </w:tcBorders>
            <w:shd w:val="clear" w:color="auto" w:fill="auto"/>
            <w:vAlign w:val="center"/>
            <w:hideMark/>
          </w:tcPr>
          <w:p w:rsidR="001121C0" w:rsidRPr="00783A93" w:rsidRDefault="001121C0" w:rsidP="00965ACF">
            <w:pPr>
              <w:spacing w:after="0" w:line="240" w:lineRule="auto"/>
              <w:rPr>
                <w:rFonts w:ascii="Calibri" w:eastAsia="Times New Roman" w:hAnsi="Calibri" w:cs="Calibri"/>
                <w:sz w:val="18"/>
                <w:szCs w:val="24"/>
                <w:lang w:eastAsia="tr-TR"/>
              </w:rPr>
            </w:pPr>
            <w:r w:rsidRPr="00783A93">
              <w:rPr>
                <w:rFonts w:ascii="Calibri" w:eastAsia="Times New Roman" w:hAnsi="Calibri" w:cs="Calibri"/>
                <w:sz w:val="18"/>
                <w:szCs w:val="24"/>
                <w:lang w:eastAsia="tr-TR"/>
              </w:rPr>
              <w:t>Gelişmiş ekonomiler</w:t>
            </w:r>
          </w:p>
        </w:tc>
        <w:tc>
          <w:tcPr>
            <w:tcW w:w="611" w:type="dxa"/>
            <w:tcBorders>
              <w:top w:val="nil"/>
              <w:left w:val="nil"/>
              <w:bottom w:val="single" w:sz="4" w:space="0" w:color="auto"/>
              <w:right w:val="single" w:sz="4" w:space="0" w:color="auto"/>
            </w:tcBorders>
            <w:shd w:val="clear" w:color="auto" w:fill="auto"/>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1,7</w:t>
            </w:r>
          </w:p>
        </w:tc>
        <w:tc>
          <w:tcPr>
            <w:tcW w:w="526" w:type="dxa"/>
            <w:tcBorders>
              <w:top w:val="nil"/>
              <w:left w:val="nil"/>
              <w:bottom w:val="single" w:sz="4" w:space="0" w:color="auto"/>
              <w:right w:val="single" w:sz="4" w:space="0" w:color="auto"/>
            </w:tcBorders>
            <w:shd w:val="clear" w:color="auto" w:fill="auto"/>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2,0</w:t>
            </w:r>
          </w:p>
        </w:tc>
        <w:tc>
          <w:tcPr>
            <w:tcW w:w="710"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1,6</w:t>
            </w:r>
          </w:p>
        </w:tc>
        <w:tc>
          <w:tcPr>
            <w:tcW w:w="696"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2,0</w:t>
            </w:r>
          </w:p>
        </w:tc>
        <w:tc>
          <w:tcPr>
            <w:tcW w:w="181" w:type="dxa"/>
            <w:vMerge/>
            <w:tcBorders>
              <w:top w:val="nil"/>
              <w:left w:val="single" w:sz="4" w:space="0" w:color="auto"/>
              <w:bottom w:val="single" w:sz="4" w:space="0" w:color="auto"/>
              <w:right w:val="single" w:sz="4" w:space="0" w:color="auto"/>
            </w:tcBorders>
            <w:vAlign w:val="center"/>
            <w:hideMark/>
          </w:tcPr>
          <w:p w:rsidR="001121C0" w:rsidRPr="00783A93" w:rsidRDefault="001121C0" w:rsidP="00965ACF">
            <w:pPr>
              <w:spacing w:after="0" w:line="240" w:lineRule="auto"/>
              <w:rPr>
                <w:rFonts w:ascii="Calibri" w:eastAsia="Times New Roman" w:hAnsi="Calibri" w:cs="Calibri"/>
                <w:color w:val="000000"/>
                <w:sz w:val="18"/>
                <w:szCs w:val="24"/>
                <w:lang w:eastAsia="tr-TR"/>
              </w:rPr>
            </w:pPr>
          </w:p>
        </w:tc>
        <w:tc>
          <w:tcPr>
            <w:tcW w:w="724"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0,0</w:t>
            </w:r>
          </w:p>
        </w:tc>
        <w:tc>
          <w:tcPr>
            <w:tcW w:w="739" w:type="dxa"/>
            <w:tcBorders>
              <w:top w:val="nil"/>
              <w:left w:val="nil"/>
              <w:bottom w:val="single" w:sz="4" w:space="0" w:color="auto"/>
              <w:right w:val="single" w:sz="4" w:space="0" w:color="auto"/>
            </w:tcBorders>
            <w:shd w:val="clear" w:color="000000" w:fill="E9E9FF"/>
            <w:vAlign w:val="center"/>
            <w:hideMark/>
          </w:tcPr>
          <w:p w:rsidR="001121C0" w:rsidRPr="00783A93" w:rsidRDefault="001121C0" w:rsidP="00965ACF">
            <w:pPr>
              <w:spacing w:after="0" w:line="240" w:lineRule="auto"/>
              <w:jc w:val="center"/>
              <w:rPr>
                <w:rFonts w:ascii="Calibri" w:eastAsia="Times New Roman" w:hAnsi="Calibri" w:cs="Calibri"/>
                <w:sz w:val="18"/>
                <w:szCs w:val="24"/>
                <w:lang w:eastAsia="tr-TR"/>
              </w:rPr>
            </w:pPr>
            <w:r w:rsidRPr="00783A93">
              <w:rPr>
                <w:rFonts w:ascii="Calibri" w:eastAsia="Times New Roman" w:hAnsi="Calibri" w:cs="Calibri"/>
                <w:sz w:val="18"/>
                <w:szCs w:val="24"/>
                <w:lang w:eastAsia="tr-TR"/>
              </w:rPr>
              <w:t>–0.1</w:t>
            </w:r>
          </w:p>
        </w:tc>
      </w:tr>
      <w:tr w:rsidR="001121C0" w:rsidRPr="00783A93" w:rsidTr="00965ACF">
        <w:trPr>
          <w:trHeight w:val="420"/>
          <w:jc w:val="center"/>
        </w:trPr>
        <w:tc>
          <w:tcPr>
            <w:tcW w:w="2870" w:type="dxa"/>
            <w:tcBorders>
              <w:top w:val="nil"/>
              <w:left w:val="single" w:sz="4" w:space="0" w:color="auto"/>
              <w:bottom w:val="single" w:sz="4" w:space="0" w:color="auto"/>
              <w:right w:val="single" w:sz="4" w:space="0" w:color="auto"/>
            </w:tcBorders>
            <w:shd w:val="clear" w:color="auto" w:fill="auto"/>
            <w:vAlign w:val="center"/>
            <w:hideMark/>
          </w:tcPr>
          <w:p w:rsidR="001121C0" w:rsidRPr="00783A93" w:rsidRDefault="001121C0" w:rsidP="00965ACF">
            <w:pPr>
              <w:spacing w:after="0" w:line="240" w:lineRule="auto"/>
              <w:rPr>
                <w:rFonts w:ascii="Calibri" w:eastAsia="Times New Roman" w:hAnsi="Calibri" w:cs="Calibri"/>
                <w:sz w:val="18"/>
                <w:szCs w:val="24"/>
                <w:lang w:eastAsia="tr-TR"/>
              </w:rPr>
            </w:pPr>
            <w:r w:rsidRPr="00783A93">
              <w:rPr>
                <w:rFonts w:ascii="Calibri" w:eastAsia="Times New Roman" w:hAnsi="Calibri" w:cs="Calibri"/>
                <w:sz w:val="18"/>
                <w:szCs w:val="24"/>
                <w:lang w:eastAsia="tr-TR"/>
              </w:rPr>
              <w:t>Yükselen Piyasalar ve Gelişmekte Olan Ekonomiler</w:t>
            </w:r>
          </w:p>
        </w:tc>
        <w:tc>
          <w:tcPr>
            <w:tcW w:w="611" w:type="dxa"/>
            <w:tcBorders>
              <w:top w:val="nil"/>
              <w:left w:val="nil"/>
              <w:bottom w:val="single" w:sz="4" w:space="0" w:color="auto"/>
              <w:right w:val="single" w:sz="4" w:space="0" w:color="auto"/>
            </w:tcBorders>
            <w:shd w:val="clear" w:color="auto" w:fill="auto"/>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4,3</w:t>
            </w:r>
          </w:p>
        </w:tc>
        <w:tc>
          <w:tcPr>
            <w:tcW w:w="526" w:type="dxa"/>
            <w:tcBorders>
              <w:top w:val="nil"/>
              <w:left w:val="nil"/>
              <w:bottom w:val="single" w:sz="4" w:space="0" w:color="auto"/>
              <w:right w:val="single" w:sz="4" w:space="0" w:color="auto"/>
            </w:tcBorders>
            <w:shd w:val="clear" w:color="auto" w:fill="auto"/>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4,8</w:t>
            </w:r>
          </w:p>
        </w:tc>
        <w:tc>
          <w:tcPr>
            <w:tcW w:w="710"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4,8</w:t>
            </w:r>
          </w:p>
        </w:tc>
        <w:tc>
          <w:tcPr>
            <w:tcW w:w="696"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4,7</w:t>
            </w:r>
          </w:p>
        </w:tc>
        <w:tc>
          <w:tcPr>
            <w:tcW w:w="181" w:type="dxa"/>
            <w:vMerge/>
            <w:tcBorders>
              <w:top w:val="nil"/>
              <w:left w:val="single" w:sz="4" w:space="0" w:color="auto"/>
              <w:bottom w:val="single" w:sz="4" w:space="0" w:color="auto"/>
              <w:right w:val="single" w:sz="4" w:space="0" w:color="auto"/>
            </w:tcBorders>
            <w:vAlign w:val="center"/>
            <w:hideMark/>
          </w:tcPr>
          <w:p w:rsidR="001121C0" w:rsidRPr="00783A93" w:rsidRDefault="001121C0" w:rsidP="00965ACF">
            <w:pPr>
              <w:spacing w:after="0" w:line="240" w:lineRule="auto"/>
              <w:rPr>
                <w:rFonts w:ascii="Calibri" w:eastAsia="Times New Roman" w:hAnsi="Calibri" w:cs="Calibri"/>
                <w:color w:val="000000"/>
                <w:sz w:val="18"/>
                <w:szCs w:val="24"/>
                <w:lang w:eastAsia="tr-TR"/>
              </w:rPr>
            </w:pPr>
          </w:p>
        </w:tc>
        <w:tc>
          <w:tcPr>
            <w:tcW w:w="724" w:type="dxa"/>
            <w:tcBorders>
              <w:top w:val="nil"/>
              <w:left w:val="nil"/>
              <w:bottom w:val="single" w:sz="4" w:space="0" w:color="auto"/>
              <w:right w:val="single" w:sz="4" w:space="0" w:color="auto"/>
            </w:tcBorders>
            <w:shd w:val="clear" w:color="000000" w:fill="E9E9FF"/>
            <w:vAlign w:val="center"/>
            <w:hideMark/>
          </w:tcPr>
          <w:p w:rsidR="001121C0" w:rsidRPr="00783A93" w:rsidRDefault="001121C0" w:rsidP="00965ACF">
            <w:pPr>
              <w:spacing w:after="0" w:line="240" w:lineRule="auto"/>
              <w:jc w:val="center"/>
              <w:rPr>
                <w:rFonts w:ascii="Calibri" w:eastAsia="Times New Roman" w:hAnsi="Calibri" w:cs="Calibri"/>
                <w:sz w:val="18"/>
                <w:szCs w:val="24"/>
                <w:lang w:eastAsia="tr-TR"/>
              </w:rPr>
            </w:pPr>
            <w:r w:rsidRPr="00783A93">
              <w:rPr>
                <w:rFonts w:ascii="Calibri" w:eastAsia="Times New Roman" w:hAnsi="Calibri" w:cs="Calibri"/>
                <w:sz w:val="18"/>
                <w:szCs w:val="24"/>
                <w:lang w:eastAsia="tr-TR"/>
              </w:rPr>
              <w:t>–0.1</w:t>
            </w:r>
          </w:p>
        </w:tc>
        <w:tc>
          <w:tcPr>
            <w:tcW w:w="739" w:type="dxa"/>
            <w:tcBorders>
              <w:top w:val="nil"/>
              <w:left w:val="nil"/>
              <w:bottom w:val="single" w:sz="4" w:space="0" w:color="auto"/>
              <w:right w:val="single" w:sz="4" w:space="0" w:color="auto"/>
            </w:tcBorders>
            <w:shd w:val="clear" w:color="000000" w:fill="E9E9FF"/>
            <w:noWrap/>
            <w:vAlign w:val="center"/>
            <w:hideMark/>
          </w:tcPr>
          <w:p w:rsidR="001121C0" w:rsidRPr="00783A93" w:rsidRDefault="001121C0" w:rsidP="00965ACF">
            <w:pPr>
              <w:spacing w:after="0" w:line="240" w:lineRule="auto"/>
              <w:jc w:val="center"/>
              <w:rPr>
                <w:rFonts w:ascii="Calibri" w:eastAsia="Times New Roman" w:hAnsi="Calibri" w:cs="Calibri"/>
                <w:color w:val="000000"/>
                <w:sz w:val="18"/>
                <w:szCs w:val="24"/>
                <w:lang w:eastAsia="tr-TR"/>
              </w:rPr>
            </w:pPr>
            <w:r w:rsidRPr="00783A93">
              <w:rPr>
                <w:rFonts w:ascii="Calibri" w:eastAsia="Times New Roman" w:hAnsi="Calibri" w:cs="Calibri"/>
                <w:color w:val="000000"/>
                <w:sz w:val="18"/>
                <w:szCs w:val="24"/>
                <w:lang w:eastAsia="tr-TR"/>
              </w:rPr>
              <w:t>0,0</w:t>
            </w:r>
          </w:p>
        </w:tc>
      </w:tr>
    </w:tbl>
    <w:p w:rsidR="001121C0" w:rsidRPr="009E53E0" w:rsidRDefault="001121C0" w:rsidP="001121C0">
      <w:pPr>
        <w:rPr>
          <w:rFonts w:ascii="Calibri" w:hAnsi="Calibri" w:cs="Calibri"/>
          <w:b/>
          <w:bCs/>
        </w:rPr>
      </w:pPr>
    </w:p>
    <w:p w:rsidR="00F82B78" w:rsidRDefault="00217BBA" w:rsidP="001121C0">
      <w:pPr>
        <w:spacing w:line="276" w:lineRule="auto"/>
        <w:jc w:val="both"/>
        <w:rPr>
          <w:sz w:val="24"/>
          <w:szCs w:val="24"/>
        </w:rPr>
      </w:pPr>
      <w:r>
        <w:rPr>
          <w:sz w:val="24"/>
          <w:szCs w:val="24"/>
        </w:rPr>
        <w:lastRenderedPageBreak/>
        <w:t xml:space="preserve">Raporun orijinaline aşağıdaki linkten ulaşılabilir: </w:t>
      </w:r>
    </w:p>
    <w:p w:rsidR="00217BBA" w:rsidRPr="00217BBA" w:rsidRDefault="00C930BA" w:rsidP="001121C0">
      <w:pPr>
        <w:spacing w:line="276" w:lineRule="auto"/>
        <w:jc w:val="both"/>
        <w:rPr>
          <w:i/>
          <w:sz w:val="24"/>
          <w:szCs w:val="24"/>
        </w:rPr>
      </w:pPr>
      <w:hyperlink r:id="rId8" w:history="1">
        <w:r w:rsidR="00217BBA" w:rsidRPr="00217BBA">
          <w:rPr>
            <w:rStyle w:val="Kpr"/>
            <w:i/>
          </w:rPr>
          <w:t>https://www.imf.org/en/Publications/WEO/Issues/2019/07/18/WEOupdateJuly2019</w:t>
        </w:r>
      </w:hyperlink>
    </w:p>
    <w:sectPr w:rsidR="00217BBA" w:rsidRPr="00217BBA" w:rsidSect="00C50904">
      <w:headerReference w:type="default" r:id="rId9"/>
      <w:footerReference w:type="default" r:id="rId10"/>
      <w:pgSz w:w="11907" w:h="16839" w:code="9"/>
      <w:pgMar w:top="1417" w:right="1417" w:bottom="1417" w:left="1417" w:header="568" w:footer="0"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0BA" w:rsidRDefault="00C930BA" w:rsidP="00C50904">
      <w:pPr>
        <w:spacing w:after="0" w:line="240" w:lineRule="auto"/>
      </w:pPr>
      <w:r>
        <w:separator/>
      </w:r>
    </w:p>
  </w:endnote>
  <w:endnote w:type="continuationSeparator" w:id="0">
    <w:p w:rsidR="00C930BA" w:rsidRDefault="00C930BA" w:rsidP="00C50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39842"/>
      <w:docPartObj>
        <w:docPartGallery w:val="Page Numbers (Bottom of Page)"/>
        <w:docPartUnique/>
      </w:docPartObj>
    </w:sdtPr>
    <w:sdtEndPr/>
    <w:sdtContent>
      <w:sdt>
        <w:sdtPr>
          <w:id w:val="-1769616900"/>
          <w:docPartObj>
            <w:docPartGallery w:val="Page Numbers (Top of Page)"/>
            <w:docPartUnique/>
          </w:docPartObj>
        </w:sdtPr>
        <w:sdtEndPr/>
        <w:sdtContent>
          <w:p w:rsidR="00534A50" w:rsidRDefault="00534A50">
            <w:pPr>
              <w:pStyle w:val="AltBilgi"/>
              <w:jc w:val="right"/>
            </w:pPr>
            <w:r>
              <w:rPr>
                <w:b/>
                <w:bCs/>
                <w:sz w:val="24"/>
                <w:szCs w:val="24"/>
              </w:rPr>
              <w:fldChar w:fldCharType="begin"/>
            </w:r>
            <w:r>
              <w:rPr>
                <w:b/>
                <w:bCs/>
              </w:rPr>
              <w:instrText>PAGE</w:instrText>
            </w:r>
            <w:r>
              <w:rPr>
                <w:b/>
                <w:bCs/>
                <w:sz w:val="24"/>
                <w:szCs w:val="24"/>
              </w:rPr>
              <w:fldChar w:fldCharType="separate"/>
            </w:r>
            <w:r w:rsidR="0019673D">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19673D">
              <w:rPr>
                <w:b/>
                <w:bCs/>
                <w:noProof/>
              </w:rPr>
              <w:t>1</w:t>
            </w:r>
            <w:r>
              <w:rPr>
                <w:b/>
                <w:bCs/>
                <w:sz w:val="24"/>
                <w:szCs w:val="24"/>
              </w:rPr>
              <w:fldChar w:fldCharType="end"/>
            </w:r>
          </w:p>
        </w:sdtContent>
      </w:sdt>
    </w:sdtContent>
  </w:sdt>
  <w:p w:rsidR="00534A50" w:rsidRDefault="00534A5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0BA" w:rsidRDefault="00C930BA" w:rsidP="00C50904">
      <w:pPr>
        <w:spacing w:after="0" w:line="240" w:lineRule="auto"/>
      </w:pPr>
      <w:r>
        <w:separator/>
      </w:r>
    </w:p>
  </w:footnote>
  <w:footnote w:type="continuationSeparator" w:id="0">
    <w:p w:rsidR="00C930BA" w:rsidRDefault="00C930BA" w:rsidP="00C50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A50" w:rsidRDefault="00534A50">
    <w:pPr>
      <w:pStyle w:val="stBilgi"/>
    </w:pPr>
    <w:r>
      <w:t>T.C. Ticaret Bakanlığı</w:t>
    </w:r>
    <w:r>
      <w:tab/>
    </w:r>
    <w:r>
      <w:tab/>
      <w:t xml:space="preserve"> 23.07.2019</w:t>
    </w:r>
  </w:p>
  <w:p w:rsidR="00534A50" w:rsidRDefault="00534A50">
    <w:pPr>
      <w:pStyle w:val="stBilgi"/>
    </w:pPr>
    <w:r>
      <w:t>Ticaret Araştırmaları Genel Müdürlüğü</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E1680"/>
    <w:multiLevelType w:val="hybridMultilevel"/>
    <w:tmpl w:val="E4A8AC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7A12003"/>
    <w:multiLevelType w:val="hybridMultilevel"/>
    <w:tmpl w:val="8C1A49C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4BB354C2"/>
    <w:multiLevelType w:val="hybridMultilevel"/>
    <w:tmpl w:val="C5F4B5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30B0934"/>
    <w:multiLevelType w:val="hybridMultilevel"/>
    <w:tmpl w:val="8D52F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D7923EC"/>
    <w:multiLevelType w:val="hybridMultilevel"/>
    <w:tmpl w:val="B14ADB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A93513F"/>
    <w:multiLevelType w:val="hybridMultilevel"/>
    <w:tmpl w:val="28F80F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84B"/>
    <w:rsid w:val="00021E0C"/>
    <w:rsid w:val="00073DF5"/>
    <w:rsid w:val="000A1977"/>
    <w:rsid w:val="001121C0"/>
    <w:rsid w:val="0019179F"/>
    <w:rsid w:val="0019673D"/>
    <w:rsid w:val="001A322A"/>
    <w:rsid w:val="00217BBA"/>
    <w:rsid w:val="002E4B58"/>
    <w:rsid w:val="003208BA"/>
    <w:rsid w:val="00374F3D"/>
    <w:rsid w:val="003E5C0D"/>
    <w:rsid w:val="003F223C"/>
    <w:rsid w:val="00415DEC"/>
    <w:rsid w:val="004469C6"/>
    <w:rsid w:val="004A0A58"/>
    <w:rsid w:val="004B09A8"/>
    <w:rsid w:val="004B7832"/>
    <w:rsid w:val="00534A50"/>
    <w:rsid w:val="00667CF7"/>
    <w:rsid w:val="007573BF"/>
    <w:rsid w:val="00876A73"/>
    <w:rsid w:val="008F2E94"/>
    <w:rsid w:val="00926C22"/>
    <w:rsid w:val="009A0303"/>
    <w:rsid w:val="009E53E0"/>
    <w:rsid w:val="00B024A7"/>
    <w:rsid w:val="00B5722C"/>
    <w:rsid w:val="00C50904"/>
    <w:rsid w:val="00C60C26"/>
    <w:rsid w:val="00C930BA"/>
    <w:rsid w:val="00D00901"/>
    <w:rsid w:val="00D62101"/>
    <w:rsid w:val="00D66021"/>
    <w:rsid w:val="00D8584B"/>
    <w:rsid w:val="00DD3115"/>
    <w:rsid w:val="00E03190"/>
    <w:rsid w:val="00E36AD4"/>
    <w:rsid w:val="00ED2E3A"/>
    <w:rsid w:val="00F14F47"/>
    <w:rsid w:val="00F16253"/>
    <w:rsid w:val="00F82B78"/>
    <w:rsid w:val="00F830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4DB81C-9E78-497C-9DCC-CD846CEE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830A6"/>
    <w:pPr>
      <w:ind w:left="720"/>
      <w:contextualSpacing/>
    </w:pPr>
  </w:style>
  <w:style w:type="paragraph" w:styleId="stBilgi">
    <w:name w:val="header"/>
    <w:basedOn w:val="Normal"/>
    <w:link w:val="stBilgiChar"/>
    <w:uiPriority w:val="99"/>
    <w:unhideWhenUsed/>
    <w:rsid w:val="00C5090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50904"/>
  </w:style>
  <w:style w:type="paragraph" w:styleId="AltBilgi">
    <w:name w:val="footer"/>
    <w:basedOn w:val="Normal"/>
    <w:link w:val="AltBilgiChar"/>
    <w:uiPriority w:val="99"/>
    <w:unhideWhenUsed/>
    <w:rsid w:val="00C5090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50904"/>
  </w:style>
  <w:style w:type="paragraph" w:styleId="BalonMetni">
    <w:name w:val="Balloon Text"/>
    <w:basedOn w:val="Normal"/>
    <w:link w:val="BalonMetniChar"/>
    <w:uiPriority w:val="99"/>
    <w:semiHidden/>
    <w:unhideWhenUsed/>
    <w:rsid w:val="009E53E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53E0"/>
    <w:rPr>
      <w:rFonts w:ascii="Segoe UI" w:hAnsi="Segoe UI" w:cs="Segoe UI"/>
      <w:sz w:val="18"/>
      <w:szCs w:val="18"/>
    </w:rPr>
  </w:style>
  <w:style w:type="character" w:styleId="Kpr">
    <w:name w:val="Hyperlink"/>
    <w:basedOn w:val="VarsaylanParagrafYazTipi"/>
    <w:uiPriority w:val="99"/>
    <w:semiHidden/>
    <w:unhideWhenUsed/>
    <w:rsid w:val="00217BBA"/>
    <w:rPr>
      <w:color w:val="0563C1"/>
      <w:u w:val="single"/>
    </w:rPr>
  </w:style>
  <w:style w:type="character" w:styleId="zlenenKpr">
    <w:name w:val="FollowedHyperlink"/>
    <w:basedOn w:val="VarsaylanParagrafYazTipi"/>
    <w:uiPriority w:val="99"/>
    <w:semiHidden/>
    <w:unhideWhenUsed/>
    <w:rsid w:val="00217B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53071">
      <w:bodyDiv w:val="1"/>
      <w:marLeft w:val="0"/>
      <w:marRight w:val="0"/>
      <w:marTop w:val="0"/>
      <w:marBottom w:val="0"/>
      <w:divBdr>
        <w:top w:val="none" w:sz="0" w:space="0" w:color="auto"/>
        <w:left w:val="none" w:sz="0" w:space="0" w:color="auto"/>
        <w:bottom w:val="none" w:sz="0" w:space="0" w:color="auto"/>
        <w:right w:val="none" w:sz="0" w:space="0" w:color="auto"/>
      </w:divBdr>
    </w:div>
    <w:div w:id="420376979">
      <w:bodyDiv w:val="1"/>
      <w:marLeft w:val="0"/>
      <w:marRight w:val="0"/>
      <w:marTop w:val="0"/>
      <w:marBottom w:val="0"/>
      <w:divBdr>
        <w:top w:val="none" w:sz="0" w:space="0" w:color="auto"/>
        <w:left w:val="none" w:sz="0" w:space="0" w:color="auto"/>
        <w:bottom w:val="none" w:sz="0" w:space="0" w:color="auto"/>
        <w:right w:val="none" w:sz="0" w:space="0" w:color="auto"/>
      </w:divBdr>
    </w:div>
    <w:div w:id="969361772">
      <w:bodyDiv w:val="1"/>
      <w:marLeft w:val="0"/>
      <w:marRight w:val="0"/>
      <w:marTop w:val="0"/>
      <w:marBottom w:val="0"/>
      <w:divBdr>
        <w:top w:val="none" w:sz="0" w:space="0" w:color="auto"/>
        <w:left w:val="none" w:sz="0" w:space="0" w:color="auto"/>
        <w:bottom w:val="none" w:sz="0" w:space="0" w:color="auto"/>
        <w:right w:val="none" w:sz="0" w:space="0" w:color="auto"/>
      </w:divBdr>
    </w:div>
    <w:div w:id="1364332074">
      <w:bodyDiv w:val="1"/>
      <w:marLeft w:val="0"/>
      <w:marRight w:val="0"/>
      <w:marTop w:val="0"/>
      <w:marBottom w:val="0"/>
      <w:divBdr>
        <w:top w:val="none" w:sz="0" w:space="0" w:color="auto"/>
        <w:left w:val="none" w:sz="0" w:space="0" w:color="auto"/>
        <w:bottom w:val="none" w:sz="0" w:space="0" w:color="auto"/>
        <w:right w:val="none" w:sz="0" w:space="0" w:color="auto"/>
      </w:divBdr>
    </w:div>
    <w:div w:id="1502503436">
      <w:bodyDiv w:val="1"/>
      <w:marLeft w:val="0"/>
      <w:marRight w:val="0"/>
      <w:marTop w:val="0"/>
      <w:marBottom w:val="0"/>
      <w:divBdr>
        <w:top w:val="none" w:sz="0" w:space="0" w:color="auto"/>
        <w:left w:val="none" w:sz="0" w:space="0" w:color="auto"/>
        <w:bottom w:val="none" w:sz="0" w:space="0" w:color="auto"/>
        <w:right w:val="none" w:sz="0" w:space="0" w:color="auto"/>
      </w:divBdr>
    </w:div>
    <w:div w:id="198778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f.org/en/Publications/WEO/Issues/2019/07/18/WEOupdateJuly20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EB1DD-70A8-4ACC-8AC3-7D8825D0C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963</Words>
  <Characters>5494</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Ekonomi Bakanlığı</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 Zeki  ERDAL</dc:creator>
  <cp:keywords/>
  <dc:description/>
  <cp:lastModifiedBy>Derya KAYA</cp:lastModifiedBy>
  <cp:revision>2</cp:revision>
  <cp:lastPrinted>2019-07-24T11:27:00Z</cp:lastPrinted>
  <dcterms:created xsi:type="dcterms:W3CDTF">2019-08-27T12:20:00Z</dcterms:created>
  <dcterms:modified xsi:type="dcterms:W3CDTF">2019-08-27T12:20:00Z</dcterms:modified>
</cp:coreProperties>
</file>